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06C" w:rsidRPr="001F406C" w:rsidRDefault="001F406C" w:rsidP="001F406C">
      <w:pPr>
        <w:spacing w:after="0" w:line="240" w:lineRule="auto"/>
        <w:jc w:val="center"/>
        <w:rPr>
          <w:rFonts w:ascii="Arial" w:eastAsia="Times New Roman" w:hAnsi="Arial" w:cs="Arial"/>
          <w:b/>
          <w:lang w:val="es-ES_tradnl" w:eastAsia="es-ES"/>
        </w:rPr>
      </w:pPr>
      <w:r w:rsidRPr="001F406C">
        <w:rPr>
          <w:rFonts w:ascii="Arial" w:eastAsia="Times New Roman" w:hAnsi="Arial" w:cs="Arial"/>
          <w:b/>
          <w:lang w:val="es-ES_tradnl" w:eastAsia="es-ES"/>
        </w:rPr>
        <w:t>ANEXO TÉCNICO No 2</w:t>
      </w:r>
    </w:p>
    <w:p w:rsidR="001F406C" w:rsidRPr="001F406C" w:rsidRDefault="001F406C" w:rsidP="001F406C">
      <w:pPr>
        <w:spacing w:after="0" w:line="240" w:lineRule="auto"/>
        <w:jc w:val="both"/>
        <w:rPr>
          <w:rFonts w:ascii="Arial" w:eastAsia="Times New Roman" w:hAnsi="Arial" w:cs="Arial"/>
          <w:lang w:val="es-ES_tradnl" w:eastAsia="es-E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1F406C" w:rsidRPr="001F406C" w:rsidTr="009E222D">
        <w:trPr>
          <w:trHeight w:val="334"/>
        </w:trPr>
        <w:tc>
          <w:tcPr>
            <w:tcW w:w="9141" w:type="dxa"/>
          </w:tcPr>
          <w:p w:rsidR="001F406C" w:rsidRPr="001F406C" w:rsidRDefault="001F406C" w:rsidP="001F406C">
            <w:pPr>
              <w:spacing w:after="0" w:line="240" w:lineRule="auto"/>
              <w:jc w:val="center"/>
              <w:rPr>
                <w:rFonts w:ascii="Arial" w:eastAsia="Times New Roman" w:hAnsi="Arial" w:cs="Arial"/>
                <w:b/>
                <w:lang w:val="es-ES_tradnl" w:eastAsia="es-ES"/>
              </w:rPr>
            </w:pPr>
            <w:r w:rsidRPr="001F406C">
              <w:rPr>
                <w:rFonts w:ascii="Arial" w:eastAsia="Times New Roman" w:hAnsi="Arial" w:cs="Arial"/>
                <w:b/>
                <w:lang w:val="es-ES_tradnl" w:eastAsia="es-ES"/>
              </w:rPr>
              <w:t>FORMATO ÚNICO DE MEMORIA JUSTIFICATIVA</w:t>
            </w:r>
          </w:p>
        </w:tc>
      </w:tr>
      <w:tr w:rsidR="001F406C" w:rsidRPr="001F406C" w:rsidTr="009E222D">
        <w:trPr>
          <w:trHeight w:val="70"/>
        </w:trPr>
        <w:tc>
          <w:tcPr>
            <w:tcW w:w="9141" w:type="dxa"/>
          </w:tcPr>
          <w:p w:rsidR="001F406C" w:rsidRPr="001F406C" w:rsidRDefault="001F406C" w:rsidP="001F406C">
            <w:pPr>
              <w:tabs>
                <w:tab w:val="left" w:pos="165"/>
              </w:tabs>
              <w:spacing w:after="0" w:line="240" w:lineRule="auto"/>
              <w:jc w:val="both"/>
              <w:rPr>
                <w:rFonts w:ascii="Arial" w:eastAsia="Times New Roman" w:hAnsi="Arial" w:cs="Arial"/>
                <w:b/>
                <w:lang w:val="es-ES_tradnl" w:eastAsia="es-ES"/>
              </w:rPr>
            </w:pPr>
            <w:r w:rsidRPr="001F406C">
              <w:rPr>
                <w:rFonts w:ascii="Arial" w:eastAsia="Times New Roman" w:hAnsi="Arial" w:cs="Arial"/>
                <w:lang w:val="es-ES_tradnl" w:eastAsia="es-ES"/>
              </w:rPr>
              <w:br w:type="page"/>
            </w:r>
          </w:p>
          <w:tbl>
            <w:tblPr>
              <w:tblW w:w="877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2"/>
            </w:tblGrid>
            <w:tr w:rsidR="001F406C" w:rsidRPr="001F406C" w:rsidTr="009E222D">
              <w:trPr>
                <w:trHeight w:val="645"/>
              </w:trPr>
              <w:tc>
                <w:tcPr>
                  <w:tcW w:w="8772" w:type="dxa"/>
                </w:tcPr>
                <w:p w:rsidR="001F406C" w:rsidRPr="001F406C" w:rsidRDefault="001F406C" w:rsidP="001F406C">
                  <w:pPr>
                    <w:numPr>
                      <w:ilvl w:val="0"/>
                      <w:numId w:val="1"/>
                    </w:numPr>
                    <w:tabs>
                      <w:tab w:val="left" w:pos="165"/>
                    </w:tabs>
                    <w:spacing w:after="0" w:line="240" w:lineRule="auto"/>
                    <w:ind w:left="358" w:right="127" w:hanging="284"/>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ANTECEDENTES Y RAZONES DE OPORTUNIDAD QUE JUSTIFICAN </w:t>
                  </w:r>
                  <w:r>
                    <w:rPr>
                      <w:rFonts w:ascii="Arial" w:eastAsia="Times New Roman" w:hAnsi="Arial" w:cs="Arial"/>
                      <w:b/>
                      <w:lang w:val="es-ES_tradnl" w:eastAsia="es-ES"/>
                    </w:rPr>
                    <w:t xml:space="preserve">LA EXPEDICIÓN DE UN </w:t>
                  </w:r>
                  <w:r w:rsidR="00F334BE">
                    <w:rPr>
                      <w:rFonts w:ascii="Arial" w:eastAsia="Times New Roman" w:hAnsi="Arial" w:cs="Arial"/>
                      <w:b/>
                      <w:lang w:val="es-ES_tradnl" w:eastAsia="es-ES"/>
                    </w:rPr>
                    <w:t xml:space="preserve">DECRETO QUE </w:t>
                  </w:r>
                  <w:r w:rsidR="00F334BE" w:rsidRPr="00F334BE">
                    <w:rPr>
                      <w:rFonts w:ascii="Arial" w:hAnsi="Arial" w:cs="Arial"/>
                      <w:b/>
                    </w:rPr>
                    <w:t>ESTABLE</w:t>
                  </w:r>
                  <w:r w:rsidR="00F334BE">
                    <w:rPr>
                      <w:rFonts w:ascii="Arial" w:hAnsi="Arial" w:cs="Arial"/>
                      <w:b/>
                    </w:rPr>
                    <w:t>Z</w:t>
                  </w:r>
                  <w:r w:rsidR="00F334BE" w:rsidRPr="00F334BE">
                    <w:rPr>
                      <w:rFonts w:ascii="Arial" w:hAnsi="Arial" w:cs="Arial"/>
                      <w:b/>
                    </w:rPr>
                    <w:t>C</w:t>
                  </w:r>
                  <w:r w:rsidR="00F334BE">
                    <w:rPr>
                      <w:rFonts w:ascii="Arial" w:hAnsi="Arial" w:cs="Arial"/>
                      <w:b/>
                    </w:rPr>
                    <w:t>A</w:t>
                  </w:r>
                  <w:r w:rsidR="00F334BE" w:rsidRPr="00F334BE">
                    <w:rPr>
                      <w:rFonts w:ascii="Arial" w:hAnsi="Arial" w:cs="Arial"/>
                      <w:b/>
                    </w:rPr>
                    <w:t xml:space="preserve"> LAS CONDICIONES DE ASIGNACIÓN DE AFILIADOS PARA GARANTIZAR LA CONTINUIDAD DEL ASEGURAMIENTO Y LA PRESTACIÓN DEL SERVICIO PÚBLICO DE SALUD</w:t>
                  </w:r>
                </w:p>
              </w:tc>
            </w:tr>
            <w:tr w:rsidR="001F406C" w:rsidRPr="001F406C" w:rsidTr="00B44311">
              <w:trPr>
                <w:trHeight w:val="693"/>
              </w:trPr>
              <w:tc>
                <w:tcPr>
                  <w:tcW w:w="8772" w:type="dxa"/>
                </w:tcPr>
                <w:p w:rsidR="001F406C" w:rsidRPr="001F406C" w:rsidRDefault="001F406C" w:rsidP="00B44311">
                  <w:pPr>
                    <w:tabs>
                      <w:tab w:val="left" w:pos="165"/>
                    </w:tabs>
                    <w:spacing w:after="0" w:line="240" w:lineRule="auto"/>
                    <w:jc w:val="both"/>
                    <w:rPr>
                      <w:rFonts w:ascii="Arial" w:eastAsia="Times New Roman" w:hAnsi="Arial" w:cs="Arial"/>
                      <w:lang w:val="es-ES_tradnl" w:eastAsia="es-ES"/>
                    </w:rPr>
                  </w:pPr>
                </w:p>
                <w:p w:rsidR="006A6FDE" w:rsidRPr="006A6FDE" w:rsidRDefault="006A6FDE" w:rsidP="006A6FDE">
                  <w:pPr>
                    <w:spacing w:after="0" w:line="240" w:lineRule="auto"/>
                    <w:ind w:left="142"/>
                    <w:jc w:val="both"/>
                    <w:rPr>
                      <w:rFonts w:ascii="Arial" w:hAnsi="Arial" w:cs="Arial"/>
                      <w:lang w:val="es-ES_tradnl"/>
                    </w:rPr>
                  </w:pPr>
                  <w:r w:rsidRPr="006A6FDE">
                    <w:rPr>
                      <w:rFonts w:ascii="Arial" w:hAnsi="Arial" w:cs="Arial"/>
                      <w:lang w:val="es-ES_tradnl"/>
                    </w:rPr>
                    <w:t xml:space="preserve">En primer lugar, la Ley 1751 de 2015 en el literal h del artículo 5 establece como obligación del Estado “Formular y adoptar políticas de salud dirigidas a garantizar el goce efectivo del derecho en igualdad de trato y oportunidades para toda la población, asegurando para ello la coordinación armónica de las acciones de todos los agentes del Sistema”. </w:t>
                  </w:r>
                </w:p>
                <w:p w:rsidR="006A6FDE" w:rsidRPr="006A6FDE" w:rsidRDefault="006A6FDE" w:rsidP="006A6FDE">
                  <w:pPr>
                    <w:spacing w:after="0" w:line="240" w:lineRule="auto"/>
                    <w:jc w:val="both"/>
                    <w:rPr>
                      <w:rFonts w:ascii="Arial" w:hAnsi="Arial" w:cs="Arial"/>
                      <w:lang w:val="es-ES_tradnl"/>
                    </w:rPr>
                  </w:pPr>
                </w:p>
                <w:p w:rsidR="006A6FDE" w:rsidRPr="006A6FDE" w:rsidRDefault="006A6FDE" w:rsidP="006A6FDE">
                  <w:pPr>
                    <w:widowControl w:val="0"/>
                    <w:autoSpaceDE w:val="0"/>
                    <w:autoSpaceDN w:val="0"/>
                    <w:adjustRightInd w:val="0"/>
                    <w:spacing w:after="0" w:line="240" w:lineRule="auto"/>
                    <w:ind w:left="102" w:right="72"/>
                    <w:jc w:val="both"/>
                    <w:rPr>
                      <w:rFonts w:ascii="Arial" w:hAnsi="Arial" w:cs="Arial"/>
                      <w:lang w:val="es-ES_tradnl"/>
                    </w:rPr>
                  </w:pPr>
                  <w:r w:rsidRPr="006A6FDE">
                    <w:rPr>
                      <w:rFonts w:ascii="Arial" w:hAnsi="Arial" w:cs="Arial"/>
                      <w:lang w:val="es-ES_tradnl"/>
                    </w:rPr>
                    <w:t>En armonía con la Ley 1438 de 2011, uno de los principios fundantes de la Ley 1751 de 2015 es la continuidad, lo cual implica que las personas tienen derecho a recibir los servicios de salud de manera continua. En efecto, una vez la provisión de un servicio ha sido iniciada, este no podrá ser interrumpido por razones administrativas o económicas. Por lo tanto, la normatividad debe apuntar a que la cobertura se garantice a las personas de manera continua, sin que se vea afectada por trámites administrativos que funjan como barreras o permitan que existan vacíos que afecten el acceso a los servicios.</w:t>
                  </w:r>
                </w:p>
                <w:p w:rsidR="006A6FDE" w:rsidRPr="006A6FDE" w:rsidRDefault="006A6FDE" w:rsidP="006A6FDE">
                  <w:pPr>
                    <w:widowControl w:val="0"/>
                    <w:autoSpaceDE w:val="0"/>
                    <w:autoSpaceDN w:val="0"/>
                    <w:adjustRightInd w:val="0"/>
                    <w:spacing w:after="0" w:line="240" w:lineRule="auto"/>
                    <w:ind w:left="102" w:right="61"/>
                    <w:jc w:val="both"/>
                    <w:rPr>
                      <w:rFonts w:ascii="Arial" w:hAnsi="Arial" w:cs="Arial"/>
                      <w:lang w:val="es-ES_tradnl"/>
                    </w:rPr>
                  </w:pPr>
                </w:p>
                <w:p w:rsidR="006A6FDE" w:rsidRPr="006A6FDE" w:rsidRDefault="006A6FDE" w:rsidP="006A6FDE">
                  <w:pPr>
                    <w:widowControl w:val="0"/>
                    <w:autoSpaceDE w:val="0"/>
                    <w:autoSpaceDN w:val="0"/>
                    <w:adjustRightInd w:val="0"/>
                    <w:spacing w:after="0" w:line="240" w:lineRule="auto"/>
                    <w:ind w:left="102" w:right="61"/>
                    <w:jc w:val="both"/>
                    <w:rPr>
                      <w:rFonts w:ascii="Arial" w:hAnsi="Arial" w:cs="Arial"/>
                      <w:lang w:val="es-ES_tradnl"/>
                    </w:rPr>
                  </w:pPr>
                  <w:r w:rsidRPr="006A6FDE">
                    <w:rPr>
                      <w:rFonts w:ascii="Arial" w:hAnsi="Arial" w:cs="Arial"/>
                      <w:lang w:val="es-ES_tradnl"/>
                    </w:rPr>
                    <w:t xml:space="preserve">En segundo lugar, mediante el Decreto 616 de 2022 se reglamenta el artículo 242 de la Ley 1955 de 2019, de manera que define la contribución solidaria como mecanismo de afiliación al Régimen Subsidiado del Sistema General de Seguridad Social en Salud. El artículo 6 del precitado Decreto estableció como reglas transitorias; en primer lugar, un mes a partir de la expedición del Decreto para la implementación de los desarrollos tecnológicos que se requieran para la operación de la afiliación en el Régimen Subsidiado a través del mecanismo de la contribución solidaria y en segundo lugar, la transición de metodologías del Sisbén. Frente a este último  el periodo de transición de metodologías del </w:t>
                  </w:r>
                  <w:r w:rsidR="004D1066" w:rsidRPr="006A6FDE">
                    <w:rPr>
                      <w:rFonts w:ascii="Arial" w:hAnsi="Arial" w:cs="Arial"/>
                      <w:lang w:val="es-ES_tradnl"/>
                    </w:rPr>
                    <w:t>Sisbén</w:t>
                  </w:r>
                  <w:r w:rsidRPr="006A6FDE">
                    <w:rPr>
                      <w:rFonts w:ascii="Arial" w:hAnsi="Arial" w:cs="Arial"/>
                      <w:lang w:val="es-ES_tradnl"/>
                    </w:rPr>
                    <w:t xml:space="preserve"> va hasta el 5 de marzo de 2023, periodo en el cual las entidades territoriales deberán haber actualizado la clasificación de las personas afiliadas en el Régimen Subsidiado a la metodología IV del Sisbén. </w:t>
                  </w:r>
                </w:p>
                <w:p w:rsidR="006A6FDE" w:rsidRPr="006A6FDE" w:rsidRDefault="006A6FDE" w:rsidP="006A6FDE">
                  <w:pPr>
                    <w:widowControl w:val="0"/>
                    <w:autoSpaceDE w:val="0"/>
                    <w:autoSpaceDN w:val="0"/>
                    <w:adjustRightInd w:val="0"/>
                    <w:spacing w:before="16" w:after="0" w:line="260" w:lineRule="exact"/>
                    <w:jc w:val="both"/>
                    <w:rPr>
                      <w:rFonts w:ascii="Arial" w:hAnsi="Arial" w:cs="Arial"/>
                      <w:lang w:val="es-ES_tradnl"/>
                    </w:rPr>
                  </w:pPr>
                </w:p>
                <w:p w:rsidR="004D1066" w:rsidRPr="004D1066" w:rsidRDefault="006A6FDE" w:rsidP="004D1066">
                  <w:pPr>
                    <w:widowControl w:val="0"/>
                    <w:autoSpaceDE w:val="0"/>
                    <w:autoSpaceDN w:val="0"/>
                    <w:adjustRightInd w:val="0"/>
                    <w:spacing w:after="0" w:line="240" w:lineRule="auto"/>
                    <w:ind w:left="138" w:right="61"/>
                    <w:jc w:val="both"/>
                    <w:rPr>
                      <w:rFonts w:ascii="Arial" w:hAnsi="Arial" w:cs="Arial"/>
                      <w:lang w:val="es-ES_tradnl"/>
                    </w:rPr>
                  </w:pPr>
                  <w:r w:rsidRPr="006A6FDE">
                    <w:rPr>
                      <w:rFonts w:ascii="Arial" w:hAnsi="Arial" w:cs="Arial"/>
                      <w:lang w:val="es-ES_tradnl"/>
                    </w:rPr>
                    <w:t xml:space="preserve">En </w:t>
                  </w:r>
                  <w:r w:rsidR="004D1066">
                    <w:rPr>
                      <w:rFonts w:ascii="Arial" w:hAnsi="Arial" w:cs="Arial"/>
                      <w:lang w:val="es-ES_tradnl"/>
                    </w:rPr>
                    <w:t>tercer</w:t>
                  </w:r>
                  <w:r w:rsidRPr="006A6FDE">
                    <w:rPr>
                      <w:rFonts w:ascii="Arial" w:hAnsi="Arial" w:cs="Arial"/>
                      <w:lang w:val="es-ES_tradnl"/>
                    </w:rPr>
                    <w:t xml:space="preserve"> lugar, </w:t>
                  </w:r>
                  <w:r w:rsidR="004D1066">
                    <w:rPr>
                      <w:rFonts w:ascii="Arial" w:hAnsi="Arial" w:cs="Arial"/>
                      <w:lang w:val="es-ES_tradnl"/>
                    </w:rPr>
                    <w:t>a</w:t>
                  </w:r>
                  <w:r w:rsidR="004D1066" w:rsidRPr="004D1066">
                    <w:rPr>
                      <w:rFonts w:ascii="Arial" w:hAnsi="Arial" w:cs="Arial"/>
                      <w:lang w:val="es-ES_tradnl"/>
                    </w:rPr>
                    <w:t xml:space="preserve"> corte 31 de diciembre de 2022, el 25.14% de la población afiliada al Régimen Subsidiado no contaba con la encuesta del Sisbén actualizada, debido, entre otros factores, a la capacidad administrativa de algunos territorios frente al volumen de solicitudes de aplicación y a la falta de gestión por parte del afiliado. Ante dichas dificultades, evidenciadas para la aplicación de la encuesta Sisbén, mediante Decreto 435 de 2023 se amplió el referido plazo de transición hasta el 5 de marzo de 2024, en aras de garantizar la continuidad de los afiliados al Sistema General de Seguridad Social en Salud-SGSSS.</w:t>
                  </w:r>
                </w:p>
                <w:p w:rsidR="004D1066" w:rsidRPr="004D1066" w:rsidRDefault="004D1066" w:rsidP="004D1066">
                  <w:pPr>
                    <w:widowControl w:val="0"/>
                    <w:autoSpaceDE w:val="0"/>
                    <w:autoSpaceDN w:val="0"/>
                    <w:adjustRightInd w:val="0"/>
                    <w:spacing w:after="0" w:line="240" w:lineRule="auto"/>
                    <w:ind w:left="138" w:right="61"/>
                    <w:jc w:val="both"/>
                    <w:rPr>
                      <w:rFonts w:ascii="Arial" w:hAnsi="Arial" w:cs="Arial"/>
                      <w:lang w:val="es-ES_tradnl"/>
                    </w:rPr>
                  </w:pPr>
                </w:p>
                <w:p w:rsidR="006A6FDE" w:rsidRDefault="003B0C1C" w:rsidP="004D1066">
                  <w:pPr>
                    <w:widowControl w:val="0"/>
                    <w:autoSpaceDE w:val="0"/>
                    <w:autoSpaceDN w:val="0"/>
                    <w:adjustRightInd w:val="0"/>
                    <w:spacing w:after="0" w:line="240" w:lineRule="auto"/>
                    <w:ind w:left="138" w:right="61"/>
                    <w:jc w:val="both"/>
                    <w:rPr>
                      <w:rFonts w:ascii="Arial" w:hAnsi="Arial" w:cs="Arial"/>
                      <w:lang w:val="es-ES_tradnl"/>
                    </w:rPr>
                  </w:pPr>
                  <w:r>
                    <w:rPr>
                      <w:rFonts w:ascii="Arial" w:hAnsi="Arial" w:cs="Arial"/>
                      <w:lang w:val="es-ES_tradnl"/>
                    </w:rPr>
                    <w:t>E</w:t>
                  </w:r>
                  <w:r w:rsidR="004D1066" w:rsidRPr="004D1066">
                    <w:rPr>
                      <w:rFonts w:ascii="Arial" w:hAnsi="Arial" w:cs="Arial"/>
                      <w:lang w:val="es-ES_tradnl"/>
                    </w:rPr>
                    <w:t>n la actualidad cerca de 3.5</w:t>
                  </w:r>
                  <w:r w:rsidR="008D214F">
                    <w:rPr>
                      <w:rFonts w:ascii="Arial" w:hAnsi="Arial" w:cs="Arial"/>
                      <w:lang w:val="es-ES_tradnl"/>
                    </w:rPr>
                    <w:t xml:space="preserve"> millones</w:t>
                  </w:r>
                  <w:r w:rsidR="004D1066" w:rsidRPr="004D1066">
                    <w:rPr>
                      <w:rFonts w:ascii="Arial" w:hAnsi="Arial" w:cs="Arial"/>
                      <w:lang w:val="es-ES_tradnl"/>
                    </w:rPr>
                    <w:t xml:space="preserve"> </w:t>
                  </w:r>
                  <w:r w:rsidR="008D214F">
                    <w:rPr>
                      <w:rFonts w:ascii="Arial" w:hAnsi="Arial" w:cs="Arial"/>
                      <w:lang w:val="es-ES_tradnl"/>
                    </w:rPr>
                    <w:t xml:space="preserve">de </w:t>
                  </w:r>
                  <w:r w:rsidR="004D1066" w:rsidRPr="004D1066">
                    <w:rPr>
                      <w:rFonts w:ascii="Arial" w:hAnsi="Arial" w:cs="Arial"/>
                      <w:lang w:val="es-ES_tradnl"/>
                    </w:rPr>
                    <w:t>afiliados al régimen subsidiado no han actualizado la encuesta del Sisbén, lo cual representa cerca del 14% de la población beneficiaria del régimen subsidiado. Lo anterior, refleja que aún existe una cobertura del Sisbén por ampliar en la aplicación de las encuestas, la cual, desde el 5 de marzo de 2021, estuvo afectada entre otros factores, por las medidas de aislamiento y confinamiento adoptadas por el gobierno nacional con ocasión a la pandemia por la Covid-19, la capacidad administrativa de algunos territorios frente a la cantidad de solicitudes de encuesta Sisbén y la falta de solicitud de la encuesta por parte del afiliado.</w:t>
                  </w:r>
                </w:p>
                <w:p w:rsidR="003B0C1C" w:rsidRPr="006A6FDE" w:rsidRDefault="003B0C1C" w:rsidP="004D1066">
                  <w:pPr>
                    <w:widowControl w:val="0"/>
                    <w:autoSpaceDE w:val="0"/>
                    <w:autoSpaceDN w:val="0"/>
                    <w:adjustRightInd w:val="0"/>
                    <w:spacing w:after="0" w:line="240" w:lineRule="auto"/>
                    <w:ind w:left="138" w:right="61"/>
                    <w:jc w:val="both"/>
                    <w:rPr>
                      <w:rFonts w:ascii="Arial" w:hAnsi="Arial" w:cs="Arial"/>
                      <w:lang w:val="es-ES_tradnl"/>
                    </w:rPr>
                  </w:pPr>
                </w:p>
                <w:p w:rsidR="003B0C1C" w:rsidRDefault="006A6FDE" w:rsidP="003B0C1C">
                  <w:pPr>
                    <w:widowControl w:val="0"/>
                    <w:autoSpaceDE w:val="0"/>
                    <w:autoSpaceDN w:val="0"/>
                    <w:adjustRightInd w:val="0"/>
                    <w:spacing w:after="0" w:line="240" w:lineRule="auto"/>
                    <w:ind w:left="138" w:right="61"/>
                    <w:jc w:val="both"/>
                    <w:rPr>
                      <w:rFonts w:ascii="Arial" w:hAnsi="Arial" w:cs="Arial"/>
                      <w:lang w:val="es-ES_tradnl"/>
                    </w:rPr>
                  </w:pPr>
                  <w:r w:rsidRPr="006A6FDE">
                    <w:rPr>
                      <w:rFonts w:ascii="Arial" w:hAnsi="Arial" w:cs="Arial"/>
                      <w:lang w:val="es-ES_tradnl"/>
                    </w:rPr>
                    <w:t xml:space="preserve">En análisis de lo anterior, </w:t>
                  </w:r>
                  <w:r w:rsidR="003B0C1C" w:rsidRPr="003B0C1C">
                    <w:rPr>
                      <w:rFonts w:ascii="Arial" w:hAnsi="Arial" w:cs="Arial"/>
                      <w:lang w:val="es-ES_tradnl"/>
                    </w:rPr>
                    <w:t xml:space="preserve">el Departamento Nacional de Planeación- DNP al pronunciarse sobre la transitoriedad mencionada en el artículo 1 del del Decreto 439 de 2023, </w:t>
                  </w:r>
                  <w:r w:rsidR="00940BBA">
                    <w:rPr>
                      <w:rFonts w:ascii="Arial" w:hAnsi="Arial" w:cs="Arial"/>
                      <w:lang w:val="es-ES_tradnl"/>
                    </w:rPr>
                    <w:t xml:space="preserve">mediante oficio con radicado 202442300427922 del 15 de febrero de 2024, </w:t>
                  </w:r>
                  <w:r w:rsidR="003B0C1C" w:rsidRPr="003B0C1C">
                    <w:rPr>
                      <w:rFonts w:ascii="Arial" w:hAnsi="Arial" w:cs="Arial"/>
                      <w:lang w:val="es-ES_tradnl"/>
                    </w:rPr>
                    <w:t>destaca dos aspectos que afectan la cobertura del Sisbén</w:t>
                  </w:r>
                  <w:r w:rsidR="00940BBA">
                    <w:rPr>
                      <w:rFonts w:ascii="Arial" w:hAnsi="Arial" w:cs="Arial"/>
                      <w:lang w:val="es-ES_tradnl"/>
                    </w:rPr>
                    <w:t xml:space="preserve"> IV</w:t>
                  </w:r>
                  <w:r w:rsidR="003B0C1C" w:rsidRPr="003B0C1C">
                    <w:rPr>
                      <w:rFonts w:ascii="Arial" w:hAnsi="Arial" w:cs="Arial"/>
                      <w:lang w:val="es-ES_tradnl"/>
                    </w:rPr>
                    <w:t xml:space="preserve">: </w:t>
                  </w:r>
                </w:p>
                <w:p w:rsidR="003B0C1C" w:rsidRDefault="003B0C1C" w:rsidP="003B0C1C">
                  <w:pPr>
                    <w:widowControl w:val="0"/>
                    <w:autoSpaceDE w:val="0"/>
                    <w:autoSpaceDN w:val="0"/>
                    <w:adjustRightInd w:val="0"/>
                    <w:spacing w:after="0" w:line="240" w:lineRule="auto"/>
                    <w:ind w:left="138" w:right="61"/>
                    <w:jc w:val="both"/>
                    <w:rPr>
                      <w:rFonts w:ascii="Arial" w:hAnsi="Arial" w:cs="Arial"/>
                      <w:lang w:val="es-ES_tradnl"/>
                    </w:rPr>
                  </w:pPr>
                </w:p>
                <w:p w:rsidR="003B0C1C" w:rsidRDefault="003B0C1C" w:rsidP="003B0C1C">
                  <w:pPr>
                    <w:pStyle w:val="Prrafodelista"/>
                    <w:widowControl w:val="0"/>
                    <w:numPr>
                      <w:ilvl w:val="0"/>
                      <w:numId w:val="2"/>
                    </w:numPr>
                    <w:autoSpaceDE w:val="0"/>
                    <w:autoSpaceDN w:val="0"/>
                    <w:adjustRightInd w:val="0"/>
                    <w:spacing w:after="0" w:line="240" w:lineRule="auto"/>
                    <w:ind w:right="61"/>
                    <w:jc w:val="both"/>
                    <w:rPr>
                      <w:rFonts w:ascii="Arial" w:hAnsi="Arial" w:cs="Arial"/>
                      <w:lang w:val="es-ES_tradnl"/>
                    </w:rPr>
                  </w:pPr>
                  <w:r w:rsidRPr="003B0C1C">
                    <w:rPr>
                      <w:rFonts w:ascii="Arial" w:hAnsi="Arial" w:cs="Arial"/>
                      <w:lang w:val="es-ES_tradnl"/>
                    </w:rPr>
                    <w:t xml:space="preserve">La búsqueda activa de personas trasciende las competencias de las oficinas locales de Sisbén, principalmente, por los temas relacionados con la voluntariedad de la </w:t>
                  </w:r>
                  <w:r w:rsidRPr="003B0C1C">
                    <w:rPr>
                      <w:rFonts w:ascii="Arial" w:hAnsi="Arial" w:cs="Arial"/>
                      <w:lang w:val="es-ES_tradnl"/>
                    </w:rPr>
                    <w:lastRenderedPageBreak/>
                    <w:t xml:space="preserve">encuesta Sisbén, es decir que, si las personas no se acercan a solicitar la encuesta de manera voluntaria, no será posible realizar la encuesta </w:t>
                  </w:r>
                </w:p>
                <w:p w:rsidR="003B0C1C" w:rsidRPr="003B0C1C" w:rsidRDefault="003B0C1C" w:rsidP="003B0C1C">
                  <w:pPr>
                    <w:pStyle w:val="Prrafodelista"/>
                    <w:widowControl w:val="0"/>
                    <w:numPr>
                      <w:ilvl w:val="0"/>
                      <w:numId w:val="2"/>
                    </w:numPr>
                    <w:autoSpaceDE w:val="0"/>
                    <w:autoSpaceDN w:val="0"/>
                    <w:adjustRightInd w:val="0"/>
                    <w:spacing w:after="0" w:line="240" w:lineRule="auto"/>
                    <w:ind w:right="61"/>
                    <w:jc w:val="both"/>
                    <w:rPr>
                      <w:rFonts w:ascii="Arial" w:hAnsi="Arial" w:cs="Arial"/>
                      <w:lang w:val="es-ES_tradnl"/>
                    </w:rPr>
                  </w:pPr>
                  <w:r>
                    <w:rPr>
                      <w:rFonts w:ascii="Arial" w:hAnsi="Arial" w:cs="Arial"/>
                      <w:lang w:val="es-ES_tradnl"/>
                    </w:rPr>
                    <w:t>P</w:t>
                  </w:r>
                  <w:r w:rsidRPr="003B0C1C">
                    <w:rPr>
                      <w:rFonts w:ascii="Arial" w:hAnsi="Arial" w:cs="Arial"/>
                      <w:lang w:val="es-ES_tradnl"/>
                    </w:rPr>
                    <w:t>ese a los esfuerzos realizados por las entidades territoriales en estos últimos años y que han permitido aumentar rápidamente la cobertura de Sisbén, la ampliación de la cobertura requiere que las personas soliciten la encuesta, lo cual no ha sucedido.</w:t>
                  </w:r>
                </w:p>
                <w:p w:rsidR="006C280E" w:rsidRDefault="006C280E" w:rsidP="003B0C1C">
                  <w:pPr>
                    <w:widowControl w:val="0"/>
                    <w:autoSpaceDE w:val="0"/>
                    <w:autoSpaceDN w:val="0"/>
                    <w:adjustRightInd w:val="0"/>
                    <w:spacing w:after="0" w:line="240" w:lineRule="auto"/>
                    <w:ind w:left="138" w:right="61"/>
                    <w:jc w:val="both"/>
                    <w:rPr>
                      <w:rFonts w:ascii="Arial" w:hAnsi="Arial" w:cs="Arial"/>
                      <w:lang w:val="es-ES_tradnl"/>
                    </w:rPr>
                  </w:pPr>
                </w:p>
                <w:p w:rsidR="006C280E" w:rsidRPr="006C280E" w:rsidRDefault="006C280E" w:rsidP="006C280E">
                  <w:pPr>
                    <w:widowControl w:val="0"/>
                    <w:autoSpaceDE w:val="0"/>
                    <w:autoSpaceDN w:val="0"/>
                    <w:adjustRightInd w:val="0"/>
                    <w:spacing w:after="0" w:line="240" w:lineRule="auto"/>
                    <w:ind w:left="138" w:right="61"/>
                    <w:jc w:val="both"/>
                    <w:rPr>
                      <w:rFonts w:ascii="Arial" w:hAnsi="Arial" w:cs="Arial"/>
                      <w:lang w:val="es-ES_tradnl"/>
                    </w:rPr>
                  </w:pPr>
                  <w:r>
                    <w:rPr>
                      <w:rFonts w:ascii="Arial" w:hAnsi="Arial" w:cs="Arial"/>
                      <w:lang w:val="es-ES_tradnl"/>
                    </w:rPr>
                    <w:t xml:space="preserve">De igual forma, el DNP </w:t>
                  </w:r>
                  <w:r w:rsidR="003B0C1C" w:rsidRPr="003B0C1C">
                    <w:rPr>
                      <w:rFonts w:ascii="Arial" w:hAnsi="Arial" w:cs="Arial"/>
                      <w:lang w:val="es-ES_tradnl"/>
                    </w:rPr>
                    <w:t xml:space="preserve">para avanzar hacia el Registro Universal de Ingresos, contemplado en el segundo capítulo del Plan Nacional de Desarrollo 2022-2026: Colombia, Potencia Mundial de la Vida”, lanzo el Registro Social de Hogares (RSH), un nuevo sistema de información de las condiciones económicas y sociales de los colombianos, con el propósito de que las diferentes entidades del país cuenten con información más completa al momento de focalizar sus programas y hacer más eficiente el gasto social. </w:t>
                  </w:r>
                  <w:r>
                    <w:rPr>
                      <w:rFonts w:ascii="Arial" w:hAnsi="Arial" w:cs="Arial"/>
                      <w:lang w:val="es-ES_tradnl"/>
                    </w:rPr>
                    <w:t xml:space="preserve"> </w:t>
                  </w:r>
                  <w:r w:rsidRPr="006C280E">
                    <w:rPr>
                      <w:rFonts w:ascii="Arial" w:hAnsi="Arial" w:cs="Arial"/>
                      <w:lang w:val="es-ES_tradnl"/>
                    </w:rPr>
                    <w:t>Al respecto</w:t>
                  </w:r>
                  <w:r>
                    <w:rPr>
                      <w:rFonts w:ascii="Arial" w:hAnsi="Arial" w:cs="Arial"/>
                      <w:lang w:val="es-ES_tradnl"/>
                    </w:rPr>
                    <w:t>,</w:t>
                  </w:r>
                  <w:r w:rsidRPr="006C280E">
                    <w:rPr>
                      <w:rFonts w:ascii="Arial" w:hAnsi="Arial" w:cs="Arial"/>
                      <w:lang w:val="es-ES_tradnl"/>
                    </w:rPr>
                    <w:t xml:space="preserve"> en reunión a</w:t>
                  </w:r>
                  <w:r>
                    <w:rPr>
                      <w:rFonts w:ascii="Arial" w:hAnsi="Arial" w:cs="Arial"/>
                      <w:lang w:val="es-ES_tradnl"/>
                    </w:rPr>
                    <w:t>delantad</w:t>
                  </w:r>
                  <w:r w:rsidR="00504FB1">
                    <w:rPr>
                      <w:rFonts w:ascii="Arial" w:hAnsi="Arial" w:cs="Arial"/>
                      <w:lang w:val="es-ES_tradnl"/>
                    </w:rPr>
                    <w:t>a</w:t>
                  </w:r>
                  <w:r>
                    <w:rPr>
                      <w:rFonts w:ascii="Arial" w:hAnsi="Arial" w:cs="Arial"/>
                      <w:lang w:val="es-ES_tradnl"/>
                    </w:rPr>
                    <w:t xml:space="preserve"> entre el DNP y el Ministerio de Protección Social</w:t>
                  </w:r>
                  <w:r w:rsidRPr="006C280E">
                    <w:rPr>
                      <w:rFonts w:ascii="Arial" w:hAnsi="Arial" w:cs="Arial"/>
                      <w:lang w:val="es-ES_tradnl"/>
                    </w:rPr>
                    <w:t xml:space="preserve">, se conoció que </w:t>
                  </w:r>
                  <w:r>
                    <w:rPr>
                      <w:rFonts w:ascii="Arial" w:hAnsi="Arial" w:cs="Arial"/>
                      <w:lang w:val="es-ES_tradnl"/>
                    </w:rPr>
                    <w:t xml:space="preserve">dicha entidad </w:t>
                  </w:r>
                  <w:r w:rsidR="00504FB1">
                    <w:rPr>
                      <w:rFonts w:ascii="Arial" w:hAnsi="Arial" w:cs="Arial"/>
                      <w:lang w:val="es-ES_tradnl"/>
                    </w:rPr>
                    <w:t xml:space="preserve">se </w:t>
                  </w:r>
                  <w:r w:rsidRPr="006C280E">
                    <w:rPr>
                      <w:rFonts w:ascii="Arial" w:hAnsi="Arial" w:cs="Arial"/>
                      <w:lang w:val="es-ES_tradnl"/>
                    </w:rPr>
                    <w:t>enc</w:t>
                  </w:r>
                  <w:r w:rsidR="00504FB1">
                    <w:rPr>
                      <w:rFonts w:ascii="Arial" w:hAnsi="Arial" w:cs="Arial"/>
                      <w:lang w:val="es-ES_tradnl"/>
                    </w:rPr>
                    <w:t>uentra</w:t>
                  </w:r>
                  <w:r w:rsidRPr="006C280E">
                    <w:rPr>
                      <w:rFonts w:ascii="Arial" w:hAnsi="Arial" w:cs="Arial"/>
                      <w:lang w:val="es-ES_tradnl"/>
                    </w:rPr>
                    <w:t xml:space="preserve"> desarrollando nuevas acciones con el fin de optimizar</w:t>
                  </w:r>
                  <w:r>
                    <w:rPr>
                      <w:rFonts w:ascii="Arial" w:hAnsi="Arial" w:cs="Arial"/>
                      <w:lang w:val="es-ES_tradnl"/>
                    </w:rPr>
                    <w:t xml:space="preserve"> la información del </w:t>
                  </w:r>
                  <w:r w:rsidRPr="006C280E">
                    <w:rPr>
                      <w:rFonts w:ascii="Arial" w:hAnsi="Arial" w:cs="Arial"/>
                      <w:lang w:val="es-ES_tradnl"/>
                    </w:rPr>
                    <w:t xml:space="preserve">Registro Social de Hogares </w:t>
                  </w:r>
                  <w:r>
                    <w:rPr>
                      <w:rFonts w:ascii="Arial" w:hAnsi="Arial" w:cs="Arial"/>
                      <w:lang w:val="es-ES_tradnl"/>
                    </w:rPr>
                    <w:t xml:space="preserve">para </w:t>
                  </w:r>
                  <w:r w:rsidRPr="006C280E">
                    <w:rPr>
                      <w:rFonts w:ascii="Arial" w:hAnsi="Arial" w:cs="Arial"/>
                      <w:lang w:val="es-ES_tradnl"/>
                    </w:rPr>
                    <w:t>la identificación de la población pobre y vulnerable que habita dentro del Territorio Nacional, por lo que era necesario</w:t>
                  </w:r>
                  <w:r w:rsidR="00FE7BB5">
                    <w:rPr>
                      <w:rFonts w:ascii="Arial" w:hAnsi="Arial" w:cs="Arial"/>
                      <w:lang w:val="es-ES_tradnl"/>
                    </w:rPr>
                    <w:t>,</w:t>
                  </w:r>
                  <w:r w:rsidRPr="006C280E">
                    <w:rPr>
                      <w:rFonts w:ascii="Arial" w:hAnsi="Arial" w:cs="Arial"/>
                      <w:lang w:val="es-ES_tradnl"/>
                    </w:rPr>
                    <w:t xml:space="preserve"> implementar y ajustar las diferentes herramientas técnicas y tecnologías para ello. No obstante, dado que dichas modificaciones generaban una </w:t>
                  </w:r>
                  <w:r w:rsidR="00FE7BB5">
                    <w:rPr>
                      <w:rFonts w:ascii="Arial" w:hAnsi="Arial" w:cs="Arial"/>
                      <w:lang w:val="es-ES_tradnl"/>
                    </w:rPr>
                    <w:t xml:space="preserve">transición a una </w:t>
                  </w:r>
                  <w:r w:rsidR="00FE7BB5" w:rsidRPr="006C280E">
                    <w:rPr>
                      <w:rFonts w:ascii="Arial" w:hAnsi="Arial" w:cs="Arial"/>
                      <w:lang w:val="es-ES_tradnl"/>
                    </w:rPr>
                    <w:t>nueva Metodología de identificación de la población</w:t>
                  </w:r>
                  <w:r w:rsidR="00FE7BB5">
                    <w:rPr>
                      <w:rFonts w:ascii="Arial" w:hAnsi="Arial" w:cs="Arial"/>
                      <w:lang w:val="es-ES_tradnl"/>
                    </w:rPr>
                    <w:t xml:space="preserve"> y modificaciones en la operación del régimen subsidiado</w:t>
                  </w:r>
                  <w:r w:rsidRPr="006C280E">
                    <w:rPr>
                      <w:rFonts w:ascii="Arial" w:hAnsi="Arial" w:cs="Arial"/>
                      <w:lang w:val="es-ES_tradnl"/>
                    </w:rPr>
                    <w:t>, e</w:t>
                  </w:r>
                  <w:r w:rsidR="00FE7BB5">
                    <w:rPr>
                      <w:rFonts w:ascii="Arial" w:hAnsi="Arial" w:cs="Arial"/>
                      <w:lang w:val="es-ES_tradnl"/>
                    </w:rPr>
                    <w:t>s</w:t>
                  </w:r>
                  <w:r w:rsidRPr="006C280E">
                    <w:rPr>
                      <w:rFonts w:ascii="Arial" w:hAnsi="Arial" w:cs="Arial"/>
                      <w:lang w:val="es-ES_tradnl"/>
                    </w:rPr>
                    <w:t xml:space="preserve"> necesario contar con una mayor oportunidad en el tiempo, por lo que hasta tanto</w:t>
                  </w:r>
                  <w:r w:rsidR="00FE7BB5">
                    <w:rPr>
                      <w:rFonts w:ascii="Arial" w:hAnsi="Arial" w:cs="Arial"/>
                      <w:lang w:val="es-ES_tradnl"/>
                    </w:rPr>
                    <w:t>,</w:t>
                  </w:r>
                  <w:r w:rsidRPr="006C280E">
                    <w:rPr>
                      <w:rFonts w:ascii="Arial" w:hAnsi="Arial" w:cs="Arial"/>
                      <w:lang w:val="es-ES_tradnl"/>
                    </w:rPr>
                    <w:t xml:space="preserve"> no se contara con la misma, era necesario, continuar con la actualización de la encuesta </w:t>
                  </w:r>
                  <w:r w:rsidR="00FE7BB5" w:rsidRPr="006C280E">
                    <w:rPr>
                      <w:rFonts w:ascii="Arial" w:hAnsi="Arial" w:cs="Arial"/>
                      <w:lang w:val="es-ES_tradnl"/>
                    </w:rPr>
                    <w:t>S</w:t>
                  </w:r>
                  <w:r w:rsidR="00FE7BB5">
                    <w:rPr>
                      <w:rFonts w:ascii="Arial" w:hAnsi="Arial" w:cs="Arial"/>
                      <w:lang w:val="es-ES_tradnl"/>
                    </w:rPr>
                    <w:t>isbén</w:t>
                  </w:r>
                  <w:r w:rsidRPr="006C280E">
                    <w:rPr>
                      <w:rFonts w:ascii="Arial" w:hAnsi="Arial" w:cs="Arial"/>
                      <w:lang w:val="es-ES_tradnl"/>
                    </w:rPr>
                    <w:t>.</w:t>
                  </w:r>
                </w:p>
                <w:p w:rsidR="00504FB1" w:rsidRDefault="00504FB1" w:rsidP="00504FB1">
                  <w:pPr>
                    <w:spacing w:after="0"/>
                    <w:jc w:val="both"/>
                    <w:rPr>
                      <w:rFonts w:ascii="Arial" w:hAnsi="Arial" w:cs="Arial"/>
                      <w:lang w:val="es-ES_tradnl"/>
                    </w:rPr>
                  </w:pPr>
                </w:p>
                <w:p w:rsidR="00504FB1" w:rsidRPr="00504FB1" w:rsidRDefault="00FE7BB5" w:rsidP="00504FB1">
                  <w:pPr>
                    <w:spacing w:after="0"/>
                    <w:ind w:left="141"/>
                    <w:jc w:val="both"/>
                    <w:rPr>
                      <w:rFonts w:ascii="Arial" w:hAnsi="Arial" w:cs="Arial"/>
                      <w:lang w:val="es-ES_tradnl"/>
                    </w:rPr>
                  </w:pPr>
                  <w:r>
                    <w:rPr>
                      <w:rFonts w:ascii="Arial" w:hAnsi="Arial" w:cs="Arial"/>
                      <w:lang w:val="es-ES_tradnl"/>
                    </w:rPr>
                    <w:t>Por lo anterior</w:t>
                  </w:r>
                  <w:r w:rsidR="00504FB1">
                    <w:rPr>
                      <w:rFonts w:ascii="Arial" w:hAnsi="Arial" w:cs="Arial"/>
                      <w:lang w:val="es-ES_tradnl"/>
                    </w:rPr>
                    <w:t xml:space="preserve">, </w:t>
                  </w:r>
                  <w:r>
                    <w:rPr>
                      <w:rFonts w:ascii="Arial" w:hAnsi="Arial" w:cs="Arial"/>
                      <w:lang w:val="es-ES_tradnl"/>
                    </w:rPr>
                    <w:t>e</w:t>
                  </w:r>
                  <w:r w:rsidR="00504FB1">
                    <w:rPr>
                      <w:rFonts w:ascii="Arial" w:hAnsi="Arial" w:cs="Arial"/>
                      <w:lang w:val="es-ES_tradnl"/>
                    </w:rPr>
                    <w:t xml:space="preserve">l DNP </w:t>
                  </w:r>
                  <w:r>
                    <w:rPr>
                      <w:rFonts w:ascii="Arial" w:hAnsi="Arial" w:cs="Arial"/>
                      <w:lang w:val="es-ES_tradnl"/>
                    </w:rPr>
                    <w:t>recomienda continuar con</w:t>
                  </w:r>
                  <w:r w:rsidR="00504FB1">
                    <w:rPr>
                      <w:rFonts w:ascii="Arial" w:hAnsi="Arial" w:cs="Arial"/>
                      <w:lang w:val="es-ES_tradnl"/>
                    </w:rPr>
                    <w:t xml:space="preserve"> las mesas de trabajo </w:t>
                  </w:r>
                  <w:r w:rsidR="00504FB1" w:rsidRPr="00504FB1">
                    <w:rPr>
                      <w:rFonts w:ascii="Arial" w:hAnsi="Arial" w:cs="Arial"/>
                      <w:lang w:val="es-ES_tradnl"/>
                    </w:rPr>
                    <w:t>en el que se desarrollen los siguientes pasos:</w:t>
                  </w:r>
                </w:p>
                <w:p w:rsidR="00504FB1" w:rsidRPr="00504FB1" w:rsidRDefault="00504FB1" w:rsidP="00504FB1">
                  <w:pPr>
                    <w:spacing w:after="0"/>
                    <w:jc w:val="both"/>
                    <w:rPr>
                      <w:rFonts w:ascii="Arial" w:hAnsi="Arial" w:cs="Arial"/>
                      <w:lang w:val="es-ES_tradnl"/>
                    </w:rPr>
                  </w:pPr>
                </w:p>
                <w:p w:rsidR="00504FB1" w:rsidRPr="00504FB1" w:rsidRDefault="00504FB1" w:rsidP="00504FB1">
                  <w:pPr>
                    <w:pStyle w:val="Prrafodelista"/>
                    <w:numPr>
                      <w:ilvl w:val="0"/>
                      <w:numId w:val="3"/>
                    </w:numPr>
                    <w:spacing w:after="0"/>
                    <w:jc w:val="both"/>
                    <w:rPr>
                      <w:rFonts w:ascii="Arial" w:hAnsi="Arial" w:cs="Arial"/>
                      <w:lang w:val="es-ES_tradnl"/>
                    </w:rPr>
                  </w:pPr>
                  <w:r w:rsidRPr="00504FB1">
                    <w:rPr>
                      <w:rFonts w:ascii="Arial" w:hAnsi="Arial" w:cs="Arial"/>
                      <w:lang w:val="es-ES_tradnl"/>
                    </w:rPr>
                    <w:t>Evaluar la posibilidad de emplear información administrativa para la focalización del Régimen Subsidiado.</w:t>
                  </w:r>
                </w:p>
                <w:p w:rsidR="00504FB1" w:rsidRDefault="00504FB1" w:rsidP="00504FB1">
                  <w:pPr>
                    <w:pStyle w:val="Prrafodelista"/>
                    <w:numPr>
                      <w:ilvl w:val="0"/>
                      <w:numId w:val="3"/>
                    </w:numPr>
                    <w:spacing w:after="0"/>
                    <w:jc w:val="both"/>
                    <w:rPr>
                      <w:rFonts w:ascii="Arial" w:hAnsi="Arial" w:cs="Arial"/>
                      <w:lang w:val="es-ES_tradnl"/>
                    </w:rPr>
                  </w:pPr>
                  <w:r w:rsidRPr="00504FB1">
                    <w:rPr>
                      <w:rFonts w:ascii="Arial" w:hAnsi="Arial" w:cs="Arial"/>
                      <w:lang w:val="es-ES_tradnl"/>
                    </w:rPr>
                    <w:t>Analizar los resultados de la estimación de ingresos a partir de información administrativa.</w:t>
                  </w:r>
                </w:p>
                <w:p w:rsidR="008D214F" w:rsidRDefault="008D214F" w:rsidP="003B0C1C">
                  <w:pPr>
                    <w:widowControl w:val="0"/>
                    <w:autoSpaceDE w:val="0"/>
                    <w:autoSpaceDN w:val="0"/>
                    <w:adjustRightInd w:val="0"/>
                    <w:spacing w:after="0" w:line="240" w:lineRule="auto"/>
                    <w:ind w:left="138" w:right="61"/>
                    <w:jc w:val="both"/>
                    <w:rPr>
                      <w:rFonts w:ascii="Arial" w:hAnsi="Arial" w:cs="Arial"/>
                      <w:lang w:val="es-ES_tradnl"/>
                    </w:rPr>
                  </w:pPr>
                </w:p>
                <w:p w:rsidR="00FE7BB5" w:rsidRDefault="00FE7BB5" w:rsidP="003B0C1C">
                  <w:pPr>
                    <w:widowControl w:val="0"/>
                    <w:autoSpaceDE w:val="0"/>
                    <w:autoSpaceDN w:val="0"/>
                    <w:adjustRightInd w:val="0"/>
                    <w:spacing w:after="0" w:line="240" w:lineRule="auto"/>
                    <w:ind w:left="138" w:right="61"/>
                    <w:jc w:val="both"/>
                    <w:rPr>
                      <w:rFonts w:ascii="Arial" w:hAnsi="Arial" w:cs="Arial"/>
                      <w:lang w:val="es-ES_tradnl"/>
                    </w:rPr>
                  </w:pPr>
                  <w:r>
                    <w:rPr>
                      <w:rFonts w:ascii="Arial" w:hAnsi="Arial" w:cs="Arial"/>
                      <w:lang w:val="es-ES_tradnl"/>
                    </w:rPr>
                    <w:t>Ante lo anterior, se espera adelantar el trabajo conjunto, de manera que, se avance en el desarrollo del nuevo mecanismo de focalización.</w:t>
                  </w:r>
                </w:p>
                <w:p w:rsidR="00FE7BB5" w:rsidRDefault="00FE7BB5" w:rsidP="003B0C1C">
                  <w:pPr>
                    <w:widowControl w:val="0"/>
                    <w:autoSpaceDE w:val="0"/>
                    <w:autoSpaceDN w:val="0"/>
                    <w:adjustRightInd w:val="0"/>
                    <w:spacing w:after="0" w:line="240" w:lineRule="auto"/>
                    <w:ind w:left="138" w:right="61"/>
                    <w:jc w:val="both"/>
                    <w:rPr>
                      <w:rFonts w:ascii="Arial" w:hAnsi="Arial" w:cs="Arial"/>
                      <w:lang w:val="es-ES_tradnl"/>
                    </w:rPr>
                  </w:pPr>
                </w:p>
                <w:p w:rsidR="001F406C" w:rsidRPr="00F56738" w:rsidRDefault="00FE7BB5" w:rsidP="00F56738">
                  <w:pPr>
                    <w:widowControl w:val="0"/>
                    <w:autoSpaceDE w:val="0"/>
                    <w:autoSpaceDN w:val="0"/>
                    <w:adjustRightInd w:val="0"/>
                    <w:spacing w:after="0" w:line="240" w:lineRule="auto"/>
                    <w:ind w:left="138" w:right="61"/>
                    <w:jc w:val="both"/>
                    <w:rPr>
                      <w:rFonts w:ascii="Arial" w:hAnsi="Arial" w:cs="Arial"/>
                      <w:lang w:val="es-ES_tradnl"/>
                    </w:rPr>
                  </w:pPr>
                  <w:r>
                    <w:rPr>
                      <w:rFonts w:ascii="Arial" w:hAnsi="Arial" w:cs="Arial"/>
                      <w:lang w:val="es-ES_tradnl"/>
                    </w:rPr>
                    <w:t>En conclusión, a pesar de</w:t>
                  </w:r>
                  <w:r w:rsidR="003B0C1C" w:rsidRPr="003B0C1C">
                    <w:rPr>
                      <w:rFonts w:ascii="Arial" w:hAnsi="Arial" w:cs="Arial"/>
                      <w:lang w:val="es-ES_tradnl"/>
                    </w:rPr>
                    <w:t xml:space="preserve"> las estrategias implementadas en los territorios para avanzar en la transición de metodologías del Sisbén, y de los nuevos mecanismos de información que se encuentran en desarrollo, se debe ampliar la cobertura del Sisbén</w:t>
                  </w:r>
                  <w:r>
                    <w:rPr>
                      <w:rFonts w:ascii="Arial" w:hAnsi="Arial" w:cs="Arial"/>
                      <w:lang w:val="es-ES_tradnl"/>
                    </w:rPr>
                    <w:t xml:space="preserve">. Por </w:t>
                  </w:r>
                  <w:r w:rsidR="003B0C1C" w:rsidRPr="003B0C1C">
                    <w:rPr>
                      <w:rFonts w:ascii="Arial" w:hAnsi="Arial" w:cs="Arial"/>
                      <w:lang w:val="es-ES_tradnl"/>
                    </w:rPr>
                    <w:t>lo tanto, se hace necesaria la ampliación de los plazos para aplicarse la encuesta del Sisbén, de m</w:t>
                  </w:r>
                  <w:r>
                    <w:rPr>
                      <w:rFonts w:ascii="Arial" w:hAnsi="Arial" w:cs="Arial"/>
                      <w:lang w:val="es-ES_tradnl"/>
                    </w:rPr>
                    <w:t>odo</w:t>
                  </w:r>
                  <w:r w:rsidR="003B0C1C" w:rsidRPr="003B0C1C">
                    <w:rPr>
                      <w:rFonts w:ascii="Arial" w:hAnsi="Arial" w:cs="Arial"/>
                      <w:lang w:val="es-ES_tradnl"/>
                    </w:rPr>
                    <w:t xml:space="preserve"> que permita a las entidades territoriales y a las Entidades Promotoras de Salud, continuar con la ejecución de acciones pedagógicas que incentiven la solicitud de la encuesta de la población afiliada al régimen subsidiado y avanzar en la formulación del Registro Social de Hogares.  </w:t>
                  </w:r>
                </w:p>
              </w:tc>
            </w:tr>
          </w:tbl>
          <w:p w:rsidR="002C15B8" w:rsidRPr="001F406C" w:rsidRDefault="002C15B8" w:rsidP="00B44311">
            <w:pPr>
              <w:tabs>
                <w:tab w:val="left" w:pos="165"/>
              </w:tabs>
              <w:spacing w:after="0" w:line="240" w:lineRule="auto"/>
              <w:jc w:val="both"/>
              <w:rPr>
                <w:rFonts w:ascii="Arial" w:eastAsia="Times New Roman" w:hAnsi="Arial" w:cs="Arial"/>
                <w:b/>
                <w:lang w:val="es-ES_tradnl" w:eastAsia="es-ES"/>
              </w:rPr>
            </w:pPr>
          </w:p>
          <w:tbl>
            <w:tblPr>
              <w:tblW w:w="878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1F406C" w:rsidRPr="001F406C" w:rsidTr="009E222D">
              <w:trPr>
                <w:trHeight w:val="735"/>
              </w:trPr>
              <w:tc>
                <w:tcPr>
                  <w:tcW w:w="8789" w:type="dxa"/>
                </w:tcPr>
                <w:p w:rsidR="001F406C" w:rsidRPr="001F406C" w:rsidRDefault="001F406C" w:rsidP="001F406C">
                  <w:pPr>
                    <w:numPr>
                      <w:ilvl w:val="0"/>
                      <w:numId w:val="1"/>
                    </w:numPr>
                    <w:tabs>
                      <w:tab w:val="left" w:pos="165"/>
                    </w:tabs>
                    <w:spacing w:after="0" w:line="240" w:lineRule="auto"/>
                    <w:ind w:left="388" w:right="139" w:hanging="284"/>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ÁMBITO DE APLICACIÓN DEL RESPECTIVO </w:t>
                  </w:r>
                  <w:r w:rsidR="00FC4405">
                    <w:rPr>
                      <w:rFonts w:ascii="Arial" w:eastAsia="Times New Roman" w:hAnsi="Arial" w:cs="Arial"/>
                      <w:b/>
                      <w:lang w:val="es-ES_tradnl" w:eastAsia="es-ES"/>
                    </w:rPr>
                    <w:t xml:space="preserve">DECRETO </w:t>
                  </w:r>
                  <w:r w:rsidRPr="001F406C">
                    <w:rPr>
                      <w:rFonts w:ascii="Arial" w:eastAsia="Times New Roman" w:hAnsi="Arial" w:cs="Arial"/>
                      <w:b/>
                      <w:lang w:val="es-ES_tradnl" w:eastAsia="es-ES"/>
                    </w:rPr>
                    <w:t xml:space="preserve">Y LOS SUJETOS A QUIENES VA DIRIGIDO. OBLIGATORIAMENTE DEBE SER DILIGENCIADO POR EL ÁREA TÉCNICA  </w:t>
                  </w:r>
                </w:p>
              </w:tc>
            </w:tr>
            <w:tr w:rsidR="001F406C" w:rsidRPr="001F406C" w:rsidTr="00FC4405">
              <w:trPr>
                <w:trHeight w:val="4468"/>
              </w:trPr>
              <w:tc>
                <w:tcPr>
                  <w:tcW w:w="8789" w:type="dxa"/>
                </w:tcPr>
                <w:p w:rsidR="001F406C" w:rsidRDefault="001F406C" w:rsidP="001F406C">
                  <w:pPr>
                    <w:tabs>
                      <w:tab w:val="left" w:pos="165"/>
                    </w:tabs>
                    <w:spacing w:after="0" w:line="240" w:lineRule="auto"/>
                    <w:jc w:val="both"/>
                    <w:rPr>
                      <w:rFonts w:ascii="Arial" w:eastAsia="Calibri" w:hAnsi="Arial" w:cs="Arial"/>
                      <w:lang w:val="es-ES" w:eastAsia="es-ES"/>
                    </w:rPr>
                  </w:pPr>
                </w:p>
                <w:p w:rsidR="001F406C" w:rsidRPr="00FC4405" w:rsidRDefault="006A6FDE" w:rsidP="00FC4405">
                  <w:pPr>
                    <w:pStyle w:val="Textoindependiente"/>
                    <w:ind w:left="138" w:right="141"/>
                    <w:rPr>
                      <w:rFonts w:ascii="Arial" w:eastAsiaTheme="minorHAnsi" w:hAnsi="Arial" w:cs="Arial"/>
                      <w:sz w:val="22"/>
                      <w:szCs w:val="22"/>
                      <w:lang w:eastAsia="en-US"/>
                    </w:rPr>
                  </w:pPr>
                  <w:r w:rsidRPr="006A6FDE">
                    <w:rPr>
                      <w:rFonts w:ascii="Arial" w:eastAsia="Calibri" w:hAnsi="Arial" w:cs="Arial"/>
                      <w:sz w:val="22"/>
                      <w:szCs w:val="22"/>
                      <w:lang w:val="es-ES"/>
                    </w:rPr>
                    <w:t xml:space="preserve">Las disposiciones previstas en el </w:t>
                  </w:r>
                  <w:r w:rsidR="009748D7">
                    <w:rPr>
                      <w:rFonts w:ascii="Arial" w:eastAsia="Calibri" w:hAnsi="Arial" w:cs="Arial"/>
                      <w:sz w:val="22"/>
                      <w:szCs w:val="22"/>
                      <w:lang w:val="es-ES"/>
                    </w:rPr>
                    <w:t xml:space="preserve">Proyecto de </w:t>
                  </w:r>
                  <w:r w:rsidRPr="006A6FDE">
                    <w:rPr>
                      <w:rFonts w:ascii="Arial" w:eastAsia="Calibri" w:hAnsi="Arial" w:cs="Arial"/>
                      <w:sz w:val="22"/>
                      <w:szCs w:val="22"/>
                      <w:lang w:val="es-ES"/>
                    </w:rPr>
                    <w:t>Decreto aplican a las Empresas Promotoras de Salud -EPS- y demás entidades autorizadas a operar el aseguramiento en salud, las entidades territoriales de nivel municipal, distrital y departamental, a la Administradora de los Recursos del SGSSS - ADRES, y a la población que se encuentra afiliada</w:t>
                  </w:r>
                  <w:r w:rsidR="00F56738">
                    <w:rPr>
                      <w:rFonts w:ascii="Arial" w:eastAsia="Calibri" w:hAnsi="Arial" w:cs="Arial"/>
                      <w:sz w:val="22"/>
                      <w:szCs w:val="22"/>
                      <w:lang w:val="es-ES"/>
                    </w:rPr>
                    <w:t>.</w:t>
                  </w:r>
                </w:p>
              </w:tc>
            </w:tr>
          </w:tbl>
          <w:p w:rsidR="001F406C" w:rsidRPr="001F406C" w:rsidRDefault="001F406C" w:rsidP="001F406C">
            <w:pPr>
              <w:tabs>
                <w:tab w:val="left" w:pos="165"/>
              </w:tabs>
              <w:spacing w:after="0" w:line="240" w:lineRule="auto"/>
              <w:jc w:val="both"/>
              <w:rPr>
                <w:rFonts w:ascii="Arial" w:eastAsia="Times New Roman" w:hAnsi="Arial" w:cs="Arial"/>
                <w:b/>
                <w:lang w:val="es-ES_tradnl" w:eastAsia="es-ES"/>
              </w:rPr>
            </w:pPr>
          </w:p>
          <w:tbl>
            <w:tblPr>
              <w:tblW w:w="878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1F406C" w:rsidRPr="001F406C" w:rsidTr="009E222D">
              <w:trPr>
                <w:trHeight w:val="540"/>
              </w:trPr>
              <w:tc>
                <w:tcPr>
                  <w:tcW w:w="8789" w:type="dxa"/>
                </w:tcPr>
                <w:p w:rsidR="001F406C" w:rsidRPr="001F406C" w:rsidRDefault="001F406C" w:rsidP="001F406C">
                  <w:pPr>
                    <w:numPr>
                      <w:ilvl w:val="0"/>
                      <w:numId w:val="1"/>
                    </w:numPr>
                    <w:tabs>
                      <w:tab w:val="left" w:pos="165"/>
                    </w:tabs>
                    <w:spacing w:after="0" w:line="240" w:lineRule="auto"/>
                    <w:ind w:left="555" w:right="227" w:hanging="425"/>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IMPACTO ECONÓMICO, SI FUERE EL CASO, EL CUAL DEBERÁ SEÑALAR EL COSTO O AHORRO, DE LA IMPLEMENTACIÓN DEL </w:t>
                  </w:r>
                  <w:r w:rsidR="00FC4405">
                    <w:rPr>
                      <w:rFonts w:ascii="Arial" w:eastAsia="Times New Roman" w:hAnsi="Arial" w:cs="Arial"/>
                      <w:b/>
                      <w:lang w:val="es-ES_tradnl" w:eastAsia="es-ES"/>
                    </w:rPr>
                    <w:t>DECRETO</w:t>
                  </w:r>
                  <w:r w:rsidRPr="001F406C">
                    <w:rPr>
                      <w:rFonts w:ascii="Arial" w:eastAsia="Times New Roman" w:hAnsi="Arial" w:cs="Arial"/>
                      <w:b/>
                      <w:lang w:val="es-ES_tradnl" w:eastAsia="es-ES"/>
                    </w:rPr>
                    <w:t xml:space="preserve">. OBLIGATORIAMENTE DEBE SER DILIGENCIADO POR EL ÁREA TÉCNICA  </w:t>
                  </w:r>
                </w:p>
              </w:tc>
            </w:tr>
            <w:tr w:rsidR="001F406C" w:rsidRPr="001F406C" w:rsidTr="009E222D">
              <w:trPr>
                <w:trHeight w:val="578"/>
              </w:trPr>
              <w:tc>
                <w:tcPr>
                  <w:tcW w:w="8789" w:type="dxa"/>
                </w:tcPr>
                <w:p w:rsidR="001F406C" w:rsidRDefault="001F406C" w:rsidP="001F406C">
                  <w:pPr>
                    <w:tabs>
                      <w:tab w:val="left" w:pos="165"/>
                    </w:tabs>
                    <w:spacing w:after="0" w:line="240" w:lineRule="auto"/>
                    <w:jc w:val="both"/>
                    <w:rPr>
                      <w:rFonts w:ascii="Arial" w:eastAsia="Times New Roman" w:hAnsi="Arial" w:cs="Arial"/>
                      <w:lang w:val="es-ES_tradnl" w:eastAsia="es-ES"/>
                    </w:rPr>
                  </w:pPr>
                  <w:r w:rsidRPr="001F406C">
                    <w:rPr>
                      <w:rFonts w:ascii="Arial" w:eastAsia="Times New Roman" w:hAnsi="Arial" w:cs="Arial"/>
                      <w:lang w:val="es-ES_tradnl" w:eastAsia="es-ES"/>
                    </w:rPr>
                    <w:t xml:space="preserve"> </w:t>
                  </w:r>
                </w:p>
                <w:p w:rsidR="001F406C" w:rsidRPr="00F57582" w:rsidRDefault="001F406C" w:rsidP="001F406C">
                  <w:pPr>
                    <w:tabs>
                      <w:tab w:val="left" w:pos="165"/>
                    </w:tabs>
                    <w:spacing w:after="0" w:line="240" w:lineRule="auto"/>
                    <w:jc w:val="both"/>
                    <w:rPr>
                      <w:rFonts w:ascii="Arial" w:eastAsia="Times New Roman" w:hAnsi="Arial" w:cs="Arial"/>
                      <w:lang w:val="es-ES_tradnl" w:eastAsia="es-ES"/>
                    </w:rPr>
                  </w:pPr>
                  <w:r w:rsidRPr="001F406C">
                    <w:rPr>
                      <w:rFonts w:ascii="Arial" w:eastAsia="Times New Roman" w:hAnsi="Arial" w:cs="Arial"/>
                      <w:lang w:val="es-ES_tradnl" w:eastAsia="es-ES"/>
                    </w:rPr>
                    <w:t>No aplica</w:t>
                  </w:r>
                </w:p>
              </w:tc>
            </w:tr>
          </w:tbl>
          <w:p w:rsidR="001F406C" w:rsidRPr="001F406C" w:rsidRDefault="001F406C" w:rsidP="001F406C">
            <w:pPr>
              <w:tabs>
                <w:tab w:val="left" w:pos="165"/>
              </w:tabs>
              <w:spacing w:after="0" w:line="240" w:lineRule="auto"/>
              <w:ind w:left="214"/>
              <w:jc w:val="both"/>
              <w:rPr>
                <w:rFonts w:ascii="Arial" w:eastAsia="Times New Roman" w:hAnsi="Arial" w:cs="Arial"/>
                <w:b/>
                <w:lang w:val="es-ES_tradnl" w:eastAsia="es-ES"/>
              </w:rPr>
            </w:pPr>
          </w:p>
          <w:tbl>
            <w:tblPr>
              <w:tblW w:w="878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2"/>
            </w:tblGrid>
            <w:tr w:rsidR="001F406C" w:rsidRPr="001F406C" w:rsidTr="009E222D">
              <w:trPr>
                <w:trHeight w:val="1523"/>
              </w:trPr>
              <w:tc>
                <w:tcPr>
                  <w:tcW w:w="8789" w:type="dxa"/>
                </w:tcPr>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1F406C" w:rsidRPr="001F406C" w:rsidTr="009E222D">
                    <w:trPr>
                      <w:trHeight w:val="585"/>
                    </w:trPr>
                    <w:tc>
                      <w:tcPr>
                        <w:tcW w:w="8789" w:type="dxa"/>
                      </w:tcPr>
                      <w:p w:rsidR="001F406C" w:rsidRPr="001F406C" w:rsidRDefault="001F406C" w:rsidP="001F406C">
                        <w:pPr>
                          <w:numPr>
                            <w:ilvl w:val="0"/>
                            <w:numId w:val="1"/>
                          </w:numPr>
                          <w:tabs>
                            <w:tab w:val="left" w:pos="165"/>
                          </w:tabs>
                          <w:spacing w:after="0" w:line="240" w:lineRule="auto"/>
                          <w:ind w:left="406" w:right="227" w:hanging="406"/>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DISPONIBILIDAD PRESUPUESTAL. OBLIGATORIAMENTE DEBE SER DILIGENCIADO POR EL ÁREA TÉCNICA  </w:t>
                        </w:r>
                      </w:p>
                    </w:tc>
                  </w:tr>
                  <w:tr w:rsidR="001F406C" w:rsidRPr="001F406C" w:rsidTr="009E222D">
                    <w:trPr>
                      <w:trHeight w:val="590"/>
                    </w:trPr>
                    <w:tc>
                      <w:tcPr>
                        <w:tcW w:w="8789" w:type="dxa"/>
                      </w:tcPr>
                      <w:p w:rsidR="001F406C" w:rsidRDefault="001F406C" w:rsidP="001F406C">
                        <w:pPr>
                          <w:tabs>
                            <w:tab w:val="left" w:pos="165"/>
                          </w:tabs>
                          <w:spacing w:after="0" w:line="240" w:lineRule="auto"/>
                          <w:jc w:val="both"/>
                          <w:rPr>
                            <w:rFonts w:ascii="Arial" w:eastAsia="Times New Roman" w:hAnsi="Arial" w:cs="Arial"/>
                            <w:lang w:val="es-ES_tradnl" w:eastAsia="es-ES"/>
                          </w:rPr>
                        </w:pPr>
                      </w:p>
                      <w:p w:rsidR="001F406C" w:rsidRPr="001F406C" w:rsidRDefault="001F406C" w:rsidP="001F406C">
                        <w:pPr>
                          <w:tabs>
                            <w:tab w:val="left" w:pos="165"/>
                          </w:tabs>
                          <w:spacing w:after="0" w:line="240" w:lineRule="auto"/>
                          <w:jc w:val="both"/>
                          <w:rPr>
                            <w:rFonts w:ascii="Arial" w:eastAsia="Times New Roman" w:hAnsi="Arial" w:cs="Arial"/>
                            <w:lang w:val="es-ES_tradnl" w:eastAsia="es-ES"/>
                          </w:rPr>
                        </w:pPr>
                        <w:r w:rsidRPr="001F406C">
                          <w:rPr>
                            <w:rFonts w:ascii="Arial" w:eastAsia="Times New Roman" w:hAnsi="Arial" w:cs="Arial"/>
                            <w:lang w:val="es-ES_tradnl" w:eastAsia="es-ES"/>
                          </w:rPr>
                          <w:t>No aplica</w:t>
                        </w:r>
                      </w:p>
                      <w:p w:rsidR="001F406C" w:rsidRPr="001F406C" w:rsidRDefault="001F406C" w:rsidP="001F406C">
                        <w:pPr>
                          <w:tabs>
                            <w:tab w:val="left" w:pos="165"/>
                            <w:tab w:val="center" w:pos="4661"/>
                          </w:tabs>
                          <w:suppressAutoHyphens/>
                          <w:spacing w:after="0" w:line="240" w:lineRule="auto"/>
                          <w:jc w:val="both"/>
                          <w:outlineLvl w:val="0"/>
                          <w:rPr>
                            <w:rFonts w:ascii="Arial" w:eastAsia="Times New Roman" w:hAnsi="Arial" w:cs="Arial"/>
                            <w:lang w:val="es-ES_tradnl" w:eastAsia="es-ES"/>
                          </w:rPr>
                        </w:pPr>
                      </w:p>
                    </w:tc>
                  </w:tr>
                </w:tbl>
                <w:p w:rsidR="001F406C" w:rsidRPr="001F406C" w:rsidRDefault="001F406C" w:rsidP="001F406C">
                  <w:pPr>
                    <w:tabs>
                      <w:tab w:val="left" w:pos="165"/>
                    </w:tabs>
                    <w:spacing w:after="0" w:line="240" w:lineRule="auto"/>
                    <w:contextualSpacing/>
                    <w:jc w:val="both"/>
                    <w:rPr>
                      <w:rFonts w:ascii="Arial" w:eastAsia="Times New Roman" w:hAnsi="Arial" w:cs="Arial"/>
                      <w:b/>
                      <w:lang w:val="es-ES_tradnl" w:eastAsia="es-ES"/>
                    </w:rPr>
                  </w:pPr>
                </w:p>
              </w:tc>
            </w:tr>
          </w:tbl>
          <w:p w:rsidR="001F406C" w:rsidRPr="001F406C" w:rsidRDefault="001F406C" w:rsidP="001F406C">
            <w:pPr>
              <w:tabs>
                <w:tab w:val="left" w:pos="165"/>
              </w:tabs>
              <w:spacing w:after="0" w:line="240" w:lineRule="auto"/>
              <w:jc w:val="both"/>
              <w:rPr>
                <w:rFonts w:ascii="Arial" w:eastAsia="Times New Roman" w:hAnsi="Arial" w:cs="Arial"/>
                <w:b/>
                <w:lang w:val="es-ES_tradnl" w:eastAsia="es-ES"/>
              </w:rPr>
            </w:pPr>
          </w:p>
          <w:tbl>
            <w:tblPr>
              <w:tblW w:w="878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1F406C" w:rsidRPr="001F406C" w:rsidTr="009E222D">
              <w:trPr>
                <w:trHeight w:val="510"/>
              </w:trPr>
              <w:tc>
                <w:tcPr>
                  <w:tcW w:w="8789" w:type="dxa"/>
                </w:tcPr>
                <w:p w:rsidR="001F406C" w:rsidRPr="001F406C" w:rsidRDefault="001F406C" w:rsidP="001F406C">
                  <w:pPr>
                    <w:numPr>
                      <w:ilvl w:val="0"/>
                      <w:numId w:val="1"/>
                    </w:numPr>
                    <w:tabs>
                      <w:tab w:val="left" w:pos="165"/>
                    </w:tabs>
                    <w:spacing w:after="0" w:line="240" w:lineRule="auto"/>
                    <w:ind w:left="409" w:right="227" w:hanging="437"/>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DE SER NECESARIO, IMPACTO MEDIOAMBIENTAL O SOBRE EL PATRIMONIO CULTURAL DE LA NACIÓN. OBLIGATORIAMENTE DEBE SER DILIGENCIADO POR EL ÁREA TÉCNICA  </w:t>
                  </w:r>
                </w:p>
                <w:p w:rsidR="001F406C" w:rsidRPr="001F406C" w:rsidRDefault="001F406C" w:rsidP="001F406C">
                  <w:pPr>
                    <w:tabs>
                      <w:tab w:val="left" w:pos="165"/>
                    </w:tabs>
                    <w:spacing w:after="0" w:line="240" w:lineRule="auto"/>
                    <w:ind w:left="775"/>
                    <w:contextualSpacing/>
                    <w:jc w:val="both"/>
                    <w:rPr>
                      <w:rFonts w:ascii="Arial" w:eastAsia="Times New Roman" w:hAnsi="Arial" w:cs="Arial"/>
                      <w:b/>
                      <w:lang w:val="es-ES_tradnl" w:eastAsia="es-ES"/>
                    </w:rPr>
                  </w:pPr>
                </w:p>
              </w:tc>
            </w:tr>
            <w:tr w:rsidR="001F406C" w:rsidRPr="001F406C" w:rsidTr="009E222D">
              <w:trPr>
                <w:trHeight w:val="474"/>
              </w:trPr>
              <w:tc>
                <w:tcPr>
                  <w:tcW w:w="8789" w:type="dxa"/>
                </w:tcPr>
                <w:p w:rsidR="001F406C" w:rsidRDefault="001F406C" w:rsidP="001F406C">
                  <w:pPr>
                    <w:tabs>
                      <w:tab w:val="left" w:pos="165"/>
                    </w:tabs>
                    <w:spacing w:after="0" w:line="240" w:lineRule="auto"/>
                    <w:jc w:val="both"/>
                    <w:rPr>
                      <w:rFonts w:ascii="Arial" w:eastAsia="Times New Roman" w:hAnsi="Arial" w:cs="Arial"/>
                      <w:lang w:val="es-ES_tradnl" w:eastAsia="es-ES"/>
                    </w:rPr>
                  </w:pPr>
                  <w:r w:rsidRPr="001F406C">
                    <w:rPr>
                      <w:rFonts w:ascii="Arial" w:eastAsia="Times New Roman" w:hAnsi="Arial" w:cs="Arial"/>
                      <w:lang w:val="es-ES_tradnl" w:eastAsia="es-ES"/>
                    </w:rPr>
                    <w:t xml:space="preserve">      </w:t>
                  </w:r>
                </w:p>
                <w:p w:rsidR="001F406C" w:rsidRPr="001F406C" w:rsidRDefault="001F406C" w:rsidP="001F406C">
                  <w:pPr>
                    <w:tabs>
                      <w:tab w:val="left" w:pos="165"/>
                    </w:tabs>
                    <w:spacing w:after="0" w:line="240" w:lineRule="auto"/>
                    <w:jc w:val="both"/>
                    <w:rPr>
                      <w:rFonts w:ascii="Arial" w:eastAsia="Times New Roman" w:hAnsi="Arial" w:cs="Arial"/>
                      <w:lang w:val="es-ES_tradnl" w:eastAsia="es-ES"/>
                    </w:rPr>
                  </w:pPr>
                  <w:r w:rsidRPr="001F406C">
                    <w:rPr>
                      <w:rFonts w:ascii="Arial" w:eastAsia="Times New Roman" w:hAnsi="Arial" w:cs="Arial"/>
                      <w:lang w:val="es-ES_tradnl" w:eastAsia="es-ES"/>
                    </w:rPr>
                    <w:t>No aplica</w:t>
                  </w:r>
                </w:p>
                <w:p w:rsidR="001F406C" w:rsidRPr="001F406C" w:rsidRDefault="001F406C" w:rsidP="001F406C">
                  <w:pPr>
                    <w:tabs>
                      <w:tab w:val="left" w:pos="165"/>
                    </w:tabs>
                    <w:spacing w:after="0" w:line="240" w:lineRule="auto"/>
                    <w:ind w:left="715"/>
                    <w:contextualSpacing/>
                    <w:jc w:val="both"/>
                    <w:rPr>
                      <w:rFonts w:ascii="Arial" w:eastAsia="Times New Roman" w:hAnsi="Arial" w:cs="Arial"/>
                      <w:b/>
                      <w:lang w:val="es-ES_tradnl" w:eastAsia="es-ES"/>
                    </w:rPr>
                  </w:pPr>
                </w:p>
              </w:tc>
            </w:tr>
          </w:tbl>
          <w:p w:rsidR="001F406C" w:rsidRPr="001F406C" w:rsidRDefault="001F406C" w:rsidP="001F406C">
            <w:pPr>
              <w:tabs>
                <w:tab w:val="left" w:pos="165"/>
              </w:tabs>
              <w:spacing w:after="0" w:line="240" w:lineRule="auto"/>
              <w:jc w:val="both"/>
              <w:rPr>
                <w:rFonts w:ascii="Arial" w:eastAsia="Times New Roman" w:hAnsi="Arial" w:cs="Arial"/>
                <w:b/>
                <w:lang w:val="es-ES_tradnl" w:eastAsia="es-ES"/>
              </w:rPr>
            </w:pPr>
          </w:p>
          <w:tbl>
            <w:tblPr>
              <w:tblW w:w="871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7"/>
            </w:tblGrid>
            <w:tr w:rsidR="001F406C" w:rsidRPr="001F406C" w:rsidTr="00B44311">
              <w:trPr>
                <w:trHeight w:val="945"/>
              </w:trPr>
              <w:tc>
                <w:tcPr>
                  <w:tcW w:w="8717" w:type="dxa"/>
                </w:tcPr>
                <w:p w:rsidR="001F406C" w:rsidRPr="001F406C" w:rsidRDefault="001F406C" w:rsidP="00B44311">
                  <w:pPr>
                    <w:numPr>
                      <w:ilvl w:val="0"/>
                      <w:numId w:val="1"/>
                    </w:numPr>
                    <w:tabs>
                      <w:tab w:val="left" w:pos="165"/>
                    </w:tabs>
                    <w:spacing w:after="0" w:line="240" w:lineRule="auto"/>
                    <w:ind w:left="421" w:right="77" w:hanging="396"/>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CUMPLIMIENTO DE LOS REQUISITOS DE CONSULTA Y PUBLICIDAD PREVISTOS EN LOS ARTÍCULOS 2.1.2.1.13 y 2.1.2.1.14 DEL DECRETO 1081 DE 2015, MODIFICADO POR EL DECRETO 1609 DEL MISMO AÑO. OBLIGATORIAMENTE DEBE SER DILIGENCIADO POR EL ÁREA TÉCNICA  </w:t>
                  </w:r>
                </w:p>
              </w:tc>
            </w:tr>
          </w:tbl>
          <w:p w:rsidR="001F406C" w:rsidRDefault="001F406C" w:rsidP="001F406C">
            <w:pPr>
              <w:tabs>
                <w:tab w:val="left" w:pos="165"/>
              </w:tabs>
              <w:spacing w:after="0" w:line="240" w:lineRule="auto"/>
              <w:ind w:right="214"/>
              <w:jc w:val="both"/>
              <w:rPr>
                <w:rFonts w:ascii="Arial" w:eastAsia="Times New Roman" w:hAnsi="Arial" w:cs="Arial"/>
                <w:lang w:val="es-ES_tradnl" w:eastAsia="es-ES"/>
              </w:rPr>
            </w:pPr>
          </w:p>
          <w:p w:rsidR="00F57582" w:rsidRDefault="00C035CC" w:rsidP="00C035CC">
            <w:pPr>
              <w:spacing w:line="240" w:lineRule="auto"/>
              <w:ind w:left="142" w:right="62"/>
              <w:contextualSpacing/>
              <w:jc w:val="both"/>
              <w:rPr>
                <w:rFonts w:ascii="Arial" w:hAnsi="Arial" w:cs="Arial"/>
                <w:shd w:val="clear" w:color="auto" w:fill="FFFFFF"/>
              </w:rPr>
            </w:pPr>
            <w:r w:rsidRPr="00465A03">
              <w:rPr>
                <w:rFonts w:ascii="Arial" w:hAnsi="Arial" w:cs="Arial"/>
                <w:bCs/>
              </w:rPr>
              <w:t xml:space="preserve">En cumplimiento de </w:t>
            </w:r>
            <w:r w:rsidRPr="00465A03">
              <w:rPr>
                <w:rFonts w:ascii="Arial" w:eastAsia="Times New Roman" w:hAnsi="Arial" w:cs="Arial"/>
                <w:lang w:val="es-ES_tradnl" w:eastAsia="es-ES"/>
              </w:rPr>
              <w:t xml:space="preserve">los requisitos de consulta y publicidad consagrados en los artículos 2.1.2.1.13 y 2.1.2.1.14 del Decreto 1081 de 2015, en concordancia con el numeral 8 del artículo 8 del Código de Procedimiento Administrativo y Contencioso Administrativo, </w:t>
            </w:r>
            <w:r w:rsidR="009748D7">
              <w:rPr>
                <w:rFonts w:ascii="Arial" w:eastAsia="Times New Roman" w:hAnsi="Arial" w:cs="Arial"/>
                <w:lang w:val="es-ES_tradnl" w:eastAsia="es-ES"/>
              </w:rPr>
              <w:t xml:space="preserve">el proyecto de </w:t>
            </w:r>
            <w:r w:rsidRPr="00465A03">
              <w:rPr>
                <w:rFonts w:ascii="Arial" w:eastAsia="Times New Roman" w:hAnsi="Arial" w:cs="Arial"/>
                <w:lang w:val="es-ES_tradnl" w:eastAsia="es-ES"/>
              </w:rPr>
              <w:t>decreto</w:t>
            </w:r>
            <w:r w:rsidR="009748D7">
              <w:rPr>
                <w:rFonts w:ascii="Arial" w:eastAsia="Times New Roman" w:hAnsi="Arial" w:cs="Arial"/>
                <w:lang w:val="es-ES_tradnl" w:eastAsia="es-ES"/>
              </w:rPr>
              <w:t>, se</w:t>
            </w:r>
            <w:r w:rsidR="00F57582">
              <w:rPr>
                <w:rFonts w:ascii="Arial" w:eastAsia="Times New Roman" w:hAnsi="Arial" w:cs="Arial"/>
                <w:lang w:val="es-ES_tradnl" w:eastAsia="es-ES"/>
              </w:rPr>
              <w:t xml:space="preserve"> </w:t>
            </w:r>
            <w:r w:rsidR="009748D7" w:rsidRPr="00465A03">
              <w:rPr>
                <w:rFonts w:ascii="Arial" w:eastAsia="Times New Roman" w:hAnsi="Arial" w:cs="Arial"/>
                <w:lang w:val="es-ES_tradnl" w:eastAsia="es-ES"/>
              </w:rPr>
              <w:t>publica</w:t>
            </w:r>
            <w:r w:rsidR="009748D7">
              <w:rPr>
                <w:rFonts w:ascii="Arial" w:eastAsia="Times New Roman" w:hAnsi="Arial" w:cs="Arial"/>
                <w:lang w:val="es-ES_tradnl" w:eastAsia="es-ES"/>
              </w:rPr>
              <w:t>rá</w:t>
            </w:r>
            <w:r w:rsidR="00F57582" w:rsidRPr="00465A03">
              <w:rPr>
                <w:rFonts w:ascii="Arial" w:eastAsia="Times New Roman" w:hAnsi="Arial" w:cs="Arial"/>
                <w:lang w:val="es-ES_tradnl" w:eastAsia="es-ES"/>
              </w:rPr>
              <w:t xml:space="preserve"> </w:t>
            </w:r>
            <w:r w:rsidR="00F57582">
              <w:rPr>
                <w:rFonts w:ascii="Arial" w:eastAsia="Times New Roman" w:hAnsi="Arial" w:cs="Arial"/>
                <w:lang w:val="es-ES_tradnl" w:eastAsia="es-ES"/>
              </w:rPr>
              <w:t xml:space="preserve">entre los </w:t>
            </w:r>
            <w:r w:rsidR="00F57582" w:rsidRPr="00465A03">
              <w:rPr>
                <w:rFonts w:ascii="Arial" w:hAnsi="Arial" w:cs="Arial"/>
                <w:shd w:val="clear" w:color="auto" w:fill="FFFFFF"/>
              </w:rPr>
              <w:t>día</w:t>
            </w:r>
            <w:r w:rsidR="00F57582">
              <w:rPr>
                <w:rFonts w:ascii="Arial" w:hAnsi="Arial" w:cs="Arial"/>
                <w:shd w:val="clear" w:color="auto" w:fill="FFFFFF"/>
              </w:rPr>
              <w:t>s</w:t>
            </w:r>
            <w:r w:rsidR="00F57582" w:rsidRPr="00465A03">
              <w:rPr>
                <w:rFonts w:ascii="Arial" w:hAnsi="Arial" w:cs="Arial"/>
                <w:shd w:val="clear" w:color="auto" w:fill="FFFFFF"/>
              </w:rPr>
              <w:t xml:space="preserve"> </w:t>
            </w:r>
            <w:r w:rsidR="008D214F">
              <w:rPr>
                <w:rFonts w:ascii="Arial" w:hAnsi="Arial" w:cs="Arial"/>
                <w:shd w:val="clear" w:color="auto" w:fill="FFFFFF"/>
              </w:rPr>
              <w:t>15</w:t>
            </w:r>
            <w:r w:rsidR="00F57582" w:rsidRPr="00465A03">
              <w:rPr>
                <w:rFonts w:ascii="Arial" w:hAnsi="Arial" w:cs="Arial"/>
                <w:shd w:val="clear" w:color="auto" w:fill="FFFFFF"/>
              </w:rPr>
              <w:t xml:space="preserve"> de </w:t>
            </w:r>
            <w:r w:rsidR="009748D7">
              <w:rPr>
                <w:rFonts w:ascii="Arial" w:hAnsi="Arial" w:cs="Arial"/>
                <w:shd w:val="clear" w:color="auto" w:fill="FFFFFF"/>
              </w:rPr>
              <w:t>febrero</w:t>
            </w:r>
            <w:r w:rsidR="00F57582" w:rsidRPr="00465A03">
              <w:rPr>
                <w:rFonts w:ascii="Arial" w:hAnsi="Arial" w:cs="Arial"/>
                <w:shd w:val="clear" w:color="auto" w:fill="FFFFFF"/>
              </w:rPr>
              <w:t xml:space="preserve"> de 202</w:t>
            </w:r>
            <w:r w:rsidR="009748D7">
              <w:rPr>
                <w:rFonts w:ascii="Arial" w:hAnsi="Arial" w:cs="Arial"/>
                <w:shd w:val="clear" w:color="auto" w:fill="FFFFFF"/>
              </w:rPr>
              <w:t>4</w:t>
            </w:r>
            <w:r w:rsidR="00F57582" w:rsidRPr="00465A03">
              <w:rPr>
                <w:rFonts w:ascii="Arial" w:hAnsi="Arial" w:cs="Arial"/>
                <w:shd w:val="clear" w:color="auto" w:fill="FFFFFF"/>
              </w:rPr>
              <w:t xml:space="preserve"> </w:t>
            </w:r>
            <w:r w:rsidR="00F57582">
              <w:rPr>
                <w:rFonts w:ascii="Arial" w:hAnsi="Arial" w:cs="Arial"/>
                <w:shd w:val="clear" w:color="auto" w:fill="FFFFFF"/>
              </w:rPr>
              <w:t xml:space="preserve">al </w:t>
            </w:r>
            <w:r w:rsidR="00F57582" w:rsidRPr="00465A03">
              <w:rPr>
                <w:rFonts w:ascii="Arial" w:hAnsi="Arial" w:cs="Arial"/>
                <w:shd w:val="clear" w:color="auto" w:fill="FFFFFF"/>
              </w:rPr>
              <w:t xml:space="preserve">día </w:t>
            </w:r>
            <w:r w:rsidR="008D214F">
              <w:rPr>
                <w:rFonts w:ascii="Arial" w:hAnsi="Arial" w:cs="Arial"/>
                <w:shd w:val="clear" w:color="auto" w:fill="FFFFFF"/>
              </w:rPr>
              <w:t>21</w:t>
            </w:r>
            <w:r w:rsidR="00F57582" w:rsidRPr="00465A03">
              <w:rPr>
                <w:rFonts w:ascii="Arial" w:hAnsi="Arial" w:cs="Arial"/>
                <w:shd w:val="clear" w:color="auto" w:fill="FFFFFF"/>
              </w:rPr>
              <w:t xml:space="preserve"> de </w:t>
            </w:r>
            <w:r w:rsidR="009748D7">
              <w:rPr>
                <w:rFonts w:ascii="Arial" w:hAnsi="Arial" w:cs="Arial"/>
                <w:shd w:val="clear" w:color="auto" w:fill="FFFFFF"/>
              </w:rPr>
              <w:t>febrero</w:t>
            </w:r>
            <w:r w:rsidR="00F57582" w:rsidRPr="00465A03">
              <w:rPr>
                <w:rFonts w:ascii="Arial" w:hAnsi="Arial" w:cs="Arial"/>
                <w:shd w:val="clear" w:color="auto" w:fill="FFFFFF"/>
              </w:rPr>
              <w:t xml:space="preserve"> de 202</w:t>
            </w:r>
            <w:r w:rsidR="009748D7">
              <w:rPr>
                <w:rFonts w:ascii="Arial" w:hAnsi="Arial" w:cs="Arial"/>
                <w:shd w:val="clear" w:color="auto" w:fill="FFFFFF"/>
              </w:rPr>
              <w:t>4</w:t>
            </w:r>
            <w:r w:rsidR="003E55EA">
              <w:rPr>
                <w:rFonts w:ascii="Arial" w:hAnsi="Arial" w:cs="Arial"/>
                <w:shd w:val="clear" w:color="auto" w:fill="FFFFFF"/>
              </w:rPr>
              <w:t>,</w:t>
            </w:r>
            <w:r w:rsidR="00F57582">
              <w:rPr>
                <w:rFonts w:ascii="Arial" w:hAnsi="Arial" w:cs="Arial"/>
                <w:shd w:val="clear" w:color="auto" w:fill="FFFFFF"/>
              </w:rPr>
              <w:t xml:space="preserve"> </w:t>
            </w:r>
            <w:r w:rsidRPr="00465A03">
              <w:rPr>
                <w:rFonts w:ascii="Arial" w:eastAsia="Times New Roman" w:hAnsi="Arial" w:cs="Arial"/>
                <w:lang w:val="es-ES_tradnl" w:eastAsia="es-ES"/>
              </w:rPr>
              <w:t xml:space="preserve">para conocimiento de la opinión pública, </w:t>
            </w:r>
            <w:r w:rsidRPr="00465A03">
              <w:rPr>
                <w:rFonts w:ascii="Arial" w:hAnsi="Arial" w:cs="Arial"/>
                <w:shd w:val="clear" w:color="auto" w:fill="FFFFFF"/>
              </w:rPr>
              <w:t>con el objeto de recibir opiniones, sugerencias o propuestas altern</w:t>
            </w:r>
            <w:bookmarkStart w:id="0" w:name="_GoBack"/>
            <w:bookmarkEnd w:id="0"/>
            <w:r w:rsidRPr="00465A03">
              <w:rPr>
                <w:rFonts w:ascii="Arial" w:hAnsi="Arial" w:cs="Arial"/>
                <w:shd w:val="clear" w:color="auto" w:fill="FFFFFF"/>
              </w:rPr>
              <w:t>ativas</w:t>
            </w:r>
            <w:r w:rsidR="002C15B8">
              <w:rPr>
                <w:rFonts w:ascii="Arial" w:hAnsi="Arial" w:cs="Arial"/>
                <w:shd w:val="clear" w:color="auto" w:fill="FFFFFF"/>
              </w:rPr>
              <w:t xml:space="preserve"> de la ciudadanía</w:t>
            </w:r>
            <w:r w:rsidR="00465A03" w:rsidRPr="00465A03">
              <w:rPr>
                <w:rFonts w:ascii="Arial" w:hAnsi="Arial" w:cs="Arial"/>
                <w:shd w:val="clear" w:color="auto" w:fill="FFFFFF"/>
              </w:rPr>
              <w:t>.</w:t>
            </w:r>
            <w:r w:rsidR="008D214F">
              <w:rPr>
                <w:rFonts w:ascii="Arial" w:hAnsi="Arial" w:cs="Arial"/>
                <w:shd w:val="clear" w:color="auto" w:fill="FFFFFF"/>
              </w:rPr>
              <w:t xml:space="preserve"> Se publica por un tiempo menor de</w:t>
            </w:r>
            <w:r w:rsidR="00F57582">
              <w:rPr>
                <w:rFonts w:ascii="Arial" w:hAnsi="Arial" w:cs="Arial"/>
                <w:shd w:val="clear" w:color="auto" w:fill="FFFFFF"/>
              </w:rPr>
              <w:t xml:space="preserve"> </w:t>
            </w:r>
            <w:r w:rsidR="008D214F">
              <w:rPr>
                <w:rFonts w:ascii="Arial" w:hAnsi="Arial" w:cs="Arial"/>
                <w:shd w:val="clear" w:color="auto" w:fill="FFFFFF"/>
              </w:rPr>
              <w:t xml:space="preserve">15 días, toda vez, que </w:t>
            </w:r>
            <w:r w:rsidR="00E808A1">
              <w:rPr>
                <w:rFonts w:ascii="Arial" w:hAnsi="Arial" w:cs="Arial"/>
                <w:shd w:val="clear" w:color="auto" w:fill="FFFFFF"/>
              </w:rPr>
              <w:t xml:space="preserve">el </w:t>
            </w:r>
            <w:r w:rsidR="008D214F">
              <w:rPr>
                <w:rFonts w:ascii="Arial" w:hAnsi="Arial" w:cs="Arial"/>
                <w:shd w:val="clear" w:color="auto" w:fill="FFFFFF"/>
              </w:rPr>
              <w:t>vencimiento establecido en el Decr</w:t>
            </w:r>
            <w:r w:rsidR="00E808A1">
              <w:rPr>
                <w:rFonts w:ascii="Arial" w:hAnsi="Arial" w:cs="Arial"/>
                <w:shd w:val="clear" w:color="auto" w:fill="FFFFFF"/>
              </w:rPr>
              <w:t>e</w:t>
            </w:r>
            <w:r w:rsidR="008D214F">
              <w:rPr>
                <w:rFonts w:ascii="Arial" w:hAnsi="Arial" w:cs="Arial"/>
                <w:shd w:val="clear" w:color="auto" w:fill="FFFFFF"/>
              </w:rPr>
              <w:t xml:space="preserve">to 439 de 2023 </w:t>
            </w:r>
            <w:r w:rsidR="00E808A1">
              <w:rPr>
                <w:rFonts w:ascii="Arial" w:hAnsi="Arial" w:cs="Arial"/>
                <w:shd w:val="clear" w:color="auto" w:fill="FFFFFF"/>
              </w:rPr>
              <w:t xml:space="preserve">es 5 de marzo de 2024, por lo que es necesario </w:t>
            </w:r>
            <w:r w:rsidR="00CC01EE">
              <w:rPr>
                <w:rFonts w:ascii="Arial" w:hAnsi="Arial" w:cs="Arial"/>
                <w:shd w:val="clear" w:color="auto" w:fill="FFFFFF"/>
              </w:rPr>
              <w:t>agilizar</w:t>
            </w:r>
            <w:r w:rsidR="00E808A1">
              <w:rPr>
                <w:rFonts w:ascii="Arial" w:hAnsi="Arial" w:cs="Arial"/>
                <w:shd w:val="clear" w:color="auto" w:fill="FFFFFF"/>
              </w:rPr>
              <w:t xml:space="preserve"> los trámites necesarios para ampliar ese término.</w:t>
            </w:r>
          </w:p>
          <w:p w:rsidR="005E0492" w:rsidRDefault="005E0492" w:rsidP="009748D7">
            <w:pPr>
              <w:spacing w:line="240" w:lineRule="auto"/>
              <w:ind w:right="62"/>
              <w:contextualSpacing/>
              <w:jc w:val="both"/>
              <w:rPr>
                <w:rFonts w:ascii="Arial" w:hAnsi="Arial" w:cs="Arial"/>
                <w:bCs/>
                <w:sz w:val="24"/>
                <w:szCs w:val="24"/>
              </w:rPr>
            </w:pPr>
          </w:p>
          <w:tbl>
            <w:tblPr>
              <w:tblW w:w="878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1F406C" w:rsidRPr="001F406C" w:rsidTr="009E222D">
              <w:trPr>
                <w:trHeight w:val="450"/>
              </w:trPr>
              <w:tc>
                <w:tcPr>
                  <w:tcW w:w="8789" w:type="dxa"/>
                </w:tcPr>
                <w:p w:rsidR="001F406C" w:rsidRPr="001F406C" w:rsidRDefault="001F406C" w:rsidP="001F406C">
                  <w:pPr>
                    <w:numPr>
                      <w:ilvl w:val="0"/>
                      <w:numId w:val="1"/>
                    </w:numPr>
                    <w:tabs>
                      <w:tab w:val="left" w:pos="165"/>
                    </w:tabs>
                    <w:spacing w:after="0" w:line="240" w:lineRule="auto"/>
                    <w:ind w:left="481" w:hanging="425"/>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VIABILIDAD JURÍDICA</w:t>
                  </w:r>
                </w:p>
              </w:tc>
            </w:tr>
          </w:tbl>
          <w:p w:rsidR="001F406C" w:rsidRPr="001F406C" w:rsidRDefault="001F406C" w:rsidP="001F406C">
            <w:pPr>
              <w:tabs>
                <w:tab w:val="left" w:pos="165"/>
              </w:tabs>
              <w:spacing w:after="0" w:line="240" w:lineRule="auto"/>
              <w:jc w:val="both"/>
              <w:rPr>
                <w:rFonts w:ascii="Arial" w:eastAsia="Times New Roman" w:hAnsi="Arial" w:cs="Arial"/>
                <w:b/>
                <w:lang w:val="es-ES_tradnl" w:eastAsia="es-ES"/>
              </w:rPr>
            </w:pPr>
          </w:p>
          <w:p w:rsidR="006A6FDE" w:rsidRPr="006A6FDE" w:rsidRDefault="006A6FDE" w:rsidP="006A6FDE">
            <w:pPr>
              <w:jc w:val="both"/>
              <w:rPr>
                <w:rFonts w:ascii="Arial" w:eastAsia="Times New Roman" w:hAnsi="Arial" w:cs="Arial"/>
                <w:bCs/>
                <w:lang w:val="es-ES_tradnl" w:eastAsia="es-ES"/>
              </w:rPr>
            </w:pPr>
            <w:r w:rsidRPr="006A6FDE">
              <w:rPr>
                <w:rFonts w:ascii="Arial" w:eastAsia="Times New Roman" w:hAnsi="Arial" w:cs="Arial"/>
                <w:bCs/>
                <w:lang w:val="es-ES_tradnl" w:eastAsia="es-ES"/>
              </w:rPr>
              <w:t>Se expide en ejercicio de las facultades constitucionales y legales, en especial las conferidas en el numeral 11 del artículo 189 de la Constitución Política, de los numerales 2 y 8 del artículo 2 del Decreto Ley 4107 de 2011, artículo 32 de la Ley 1438 de 2011 y 5 de la Ley 1751 de 2015.</w:t>
            </w:r>
          </w:p>
          <w:p w:rsidR="001F406C" w:rsidRPr="001F406C" w:rsidRDefault="001F406C" w:rsidP="001F406C">
            <w:pPr>
              <w:numPr>
                <w:ilvl w:val="0"/>
                <w:numId w:val="1"/>
              </w:numPr>
              <w:tabs>
                <w:tab w:val="left" w:pos="165"/>
              </w:tabs>
              <w:spacing w:after="0" w:line="240" w:lineRule="auto"/>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CUALQUIER OTRO ASPECTO QUE LA ENTIDAD REMITENTE CONSIDERE RELEVANTE O DE IMPORTANCIA PARA LA ADOPCIÓN DE LA DECISIÓN</w:t>
            </w:r>
          </w:p>
          <w:p w:rsidR="001F406C" w:rsidRPr="009748D7" w:rsidRDefault="009748D7" w:rsidP="009223C7">
            <w:pPr>
              <w:tabs>
                <w:tab w:val="left" w:pos="165"/>
              </w:tabs>
              <w:spacing w:after="0" w:line="240" w:lineRule="auto"/>
              <w:ind w:left="142"/>
              <w:jc w:val="both"/>
              <w:rPr>
                <w:rFonts w:ascii="Arial" w:eastAsia="Times New Roman" w:hAnsi="Arial" w:cs="Arial"/>
                <w:bCs/>
                <w:lang w:val="es-ES_tradnl" w:eastAsia="es-ES"/>
              </w:rPr>
            </w:pPr>
            <w:r w:rsidRPr="009748D7">
              <w:rPr>
                <w:rFonts w:ascii="Arial" w:eastAsia="Times New Roman" w:hAnsi="Arial" w:cs="Arial"/>
                <w:bCs/>
                <w:lang w:val="es-ES_tradnl" w:eastAsia="es-ES"/>
              </w:rPr>
              <w:t>No aplica</w:t>
            </w:r>
          </w:p>
          <w:p w:rsidR="009223C7" w:rsidRPr="001F406C" w:rsidRDefault="009223C7" w:rsidP="009223C7">
            <w:pPr>
              <w:tabs>
                <w:tab w:val="left" w:pos="165"/>
              </w:tabs>
              <w:spacing w:after="0" w:line="240" w:lineRule="auto"/>
              <w:ind w:left="142"/>
              <w:jc w:val="both"/>
              <w:rPr>
                <w:rFonts w:ascii="Arial" w:eastAsia="Times New Roman" w:hAnsi="Arial" w:cs="Arial"/>
                <w:b/>
                <w:lang w:val="es-ES_tradnl" w:eastAsia="es-ES"/>
              </w:rPr>
            </w:pPr>
          </w:p>
          <w:p w:rsidR="001F406C" w:rsidRPr="001F406C" w:rsidRDefault="001F406C" w:rsidP="001F406C">
            <w:pPr>
              <w:numPr>
                <w:ilvl w:val="0"/>
                <w:numId w:val="1"/>
              </w:numPr>
              <w:tabs>
                <w:tab w:val="left" w:pos="165"/>
              </w:tabs>
              <w:autoSpaceDE w:val="0"/>
              <w:autoSpaceDN w:val="0"/>
              <w:adjustRightInd w:val="0"/>
              <w:spacing w:after="0" w:line="240" w:lineRule="auto"/>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DEBER DE COORDINACIÓN </w:t>
            </w:r>
          </w:p>
          <w:p w:rsidR="001F406C" w:rsidRPr="001F406C" w:rsidRDefault="001F406C" w:rsidP="001F406C">
            <w:pPr>
              <w:tabs>
                <w:tab w:val="left" w:pos="165"/>
              </w:tabs>
              <w:spacing w:after="0" w:line="240" w:lineRule="auto"/>
              <w:ind w:left="862"/>
              <w:jc w:val="both"/>
              <w:rPr>
                <w:rFonts w:ascii="Arial" w:eastAsia="Times New Roman" w:hAnsi="Arial" w:cs="Arial"/>
                <w:b/>
                <w:lang w:val="es-ES_tradnl" w:eastAsia="es-ES"/>
              </w:rPr>
            </w:pPr>
          </w:p>
          <w:p w:rsidR="001F406C" w:rsidRDefault="009223C7" w:rsidP="009223C7">
            <w:pPr>
              <w:tabs>
                <w:tab w:val="left" w:pos="165"/>
              </w:tabs>
              <w:autoSpaceDE w:val="0"/>
              <w:autoSpaceDN w:val="0"/>
              <w:adjustRightInd w:val="0"/>
              <w:spacing w:after="0" w:line="240" w:lineRule="auto"/>
              <w:ind w:left="142" w:right="64"/>
              <w:jc w:val="both"/>
              <w:rPr>
                <w:rFonts w:ascii="Arial" w:hAnsi="Arial" w:cs="Arial"/>
              </w:rPr>
            </w:pPr>
            <w:r w:rsidRPr="006758B3">
              <w:rPr>
                <w:rFonts w:ascii="Arial" w:hAnsi="Arial" w:cs="Arial"/>
              </w:rPr>
              <w:t>No aplica</w:t>
            </w:r>
            <w:r>
              <w:rPr>
                <w:rFonts w:ascii="Arial" w:hAnsi="Arial" w:cs="Arial"/>
              </w:rPr>
              <w:t xml:space="preserve"> </w:t>
            </w:r>
          </w:p>
          <w:p w:rsidR="009223C7" w:rsidRPr="001F406C" w:rsidRDefault="009223C7" w:rsidP="001F406C">
            <w:pPr>
              <w:tabs>
                <w:tab w:val="left" w:pos="165"/>
              </w:tabs>
              <w:autoSpaceDE w:val="0"/>
              <w:autoSpaceDN w:val="0"/>
              <w:adjustRightInd w:val="0"/>
              <w:spacing w:after="0" w:line="240" w:lineRule="auto"/>
              <w:jc w:val="both"/>
              <w:rPr>
                <w:rFonts w:ascii="Arial" w:eastAsia="Times New Roman" w:hAnsi="Arial" w:cs="Arial"/>
                <w:lang w:val="es-ES_tradnl" w:eastAsia="es-ES"/>
              </w:rPr>
            </w:pPr>
          </w:p>
          <w:p w:rsidR="001F406C" w:rsidRPr="001F406C" w:rsidRDefault="001F406C" w:rsidP="001F406C">
            <w:pPr>
              <w:numPr>
                <w:ilvl w:val="0"/>
                <w:numId w:val="1"/>
              </w:numPr>
              <w:tabs>
                <w:tab w:val="left" w:pos="165"/>
              </w:tabs>
              <w:spacing w:after="0" w:line="240" w:lineRule="auto"/>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ABOGACÍA DE LA COMPETENCIA </w:t>
            </w:r>
          </w:p>
          <w:p w:rsidR="009748D7" w:rsidRDefault="009748D7" w:rsidP="009223C7">
            <w:pPr>
              <w:tabs>
                <w:tab w:val="left" w:pos="165"/>
              </w:tabs>
              <w:spacing w:after="0" w:line="240" w:lineRule="auto"/>
              <w:ind w:left="862" w:hanging="720"/>
              <w:jc w:val="both"/>
              <w:rPr>
                <w:rFonts w:ascii="Arial" w:eastAsia="Times New Roman" w:hAnsi="Arial" w:cs="Arial"/>
                <w:lang w:val="es-ES_tradnl" w:eastAsia="es-ES"/>
              </w:rPr>
            </w:pPr>
          </w:p>
          <w:p w:rsidR="001F406C" w:rsidRPr="001F406C" w:rsidRDefault="009748D7" w:rsidP="009223C7">
            <w:pPr>
              <w:tabs>
                <w:tab w:val="left" w:pos="165"/>
              </w:tabs>
              <w:spacing w:after="0" w:line="240" w:lineRule="auto"/>
              <w:ind w:left="862" w:hanging="720"/>
              <w:jc w:val="both"/>
              <w:rPr>
                <w:rFonts w:ascii="Arial" w:eastAsia="Times New Roman" w:hAnsi="Arial" w:cs="Arial"/>
                <w:lang w:val="es-ES_tradnl" w:eastAsia="es-ES"/>
              </w:rPr>
            </w:pPr>
            <w:r w:rsidRPr="009748D7">
              <w:rPr>
                <w:rFonts w:ascii="Arial" w:eastAsia="Times New Roman" w:hAnsi="Arial" w:cs="Arial"/>
                <w:lang w:val="es-ES_tradnl" w:eastAsia="es-ES"/>
              </w:rPr>
              <w:t>No aplica</w:t>
            </w:r>
          </w:p>
          <w:p w:rsidR="003E55EA" w:rsidRDefault="003E55EA" w:rsidP="005E0492">
            <w:pPr>
              <w:spacing w:line="240" w:lineRule="auto"/>
              <w:ind w:left="142" w:right="62"/>
              <w:contextualSpacing/>
              <w:jc w:val="both"/>
              <w:rPr>
                <w:rFonts w:ascii="Arial" w:hAnsi="Arial" w:cs="Arial"/>
                <w:bCs/>
              </w:rPr>
            </w:pPr>
          </w:p>
          <w:p w:rsidR="001F406C" w:rsidRPr="001F406C" w:rsidRDefault="001F406C" w:rsidP="00B270DA">
            <w:pPr>
              <w:numPr>
                <w:ilvl w:val="0"/>
                <w:numId w:val="1"/>
              </w:numPr>
              <w:tabs>
                <w:tab w:val="left" w:pos="165"/>
              </w:tabs>
              <w:autoSpaceDE w:val="0"/>
              <w:autoSpaceDN w:val="0"/>
              <w:adjustRightInd w:val="0"/>
              <w:spacing w:after="0" w:line="240" w:lineRule="auto"/>
              <w:ind w:right="69"/>
              <w:contextualSpacing/>
              <w:jc w:val="both"/>
              <w:rPr>
                <w:rFonts w:ascii="Arial" w:eastAsia="Times New Roman" w:hAnsi="Arial" w:cs="Arial"/>
                <w:b/>
                <w:lang w:val="es-ES_tradnl" w:eastAsia="es-ES"/>
              </w:rPr>
            </w:pPr>
            <w:r w:rsidRPr="001F406C">
              <w:rPr>
                <w:rFonts w:ascii="Arial" w:eastAsia="Times New Roman" w:hAnsi="Arial" w:cs="Arial"/>
                <w:b/>
                <w:lang w:val="es-ES_tradnl" w:eastAsia="es-ES"/>
              </w:rPr>
              <w:t xml:space="preserve">REGLAMENTOS TÉCNICOS Y DE PROCEDIMIENTOS DE EVALUACIÓN DE LA CONFORMIDAD  </w:t>
            </w:r>
          </w:p>
          <w:p w:rsidR="001F406C" w:rsidRPr="001F406C" w:rsidRDefault="001F406C" w:rsidP="009223C7">
            <w:pPr>
              <w:tabs>
                <w:tab w:val="left" w:pos="165"/>
              </w:tabs>
              <w:spacing w:after="0" w:line="240" w:lineRule="auto"/>
              <w:ind w:left="862" w:hanging="720"/>
              <w:jc w:val="both"/>
              <w:rPr>
                <w:rFonts w:ascii="Arial" w:eastAsia="Times New Roman" w:hAnsi="Arial" w:cs="Arial"/>
                <w:lang w:val="es-ES_tradnl" w:eastAsia="es-ES"/>
              </w:rPr>
            </w:pPr>
            <w:r w:rsidRPr="001F406C">
              <w:rPr>
                <w:rFonts w:ascii="Arial" w:eastAsia="Times New Roman" w:hAnsi="Arial" w:cs="Arial"/>
                <w:lang w:val="es-ES_tradnl" w:eastAsia="es-ES"/>
              </w:rPr>
              <w:t xml:space="preserve"> </w:t>
            </w:r>
          </w:p>
          <w:p w:rsidR="001F406C" w:rsidRPr="001F406C" w:rsidRDefault="001F406C" w:rsidP="009223C7">
            <w:pPr>
              <w:tabs>
                <w:tab w:val="left" w:pos="165"/>
              </w:tabs>
              <w:spacing w:after="0" w:line="240" w:lineRule="auto"/>
              <w:ind w:left="862" w:hanging="720"/>
              <w:jc w:val="both"/>
              <w:rPr>
                <w:rFonts w:ascii="Arial" w:eastAsia="Times New Roman" w:hAnsi="Arial" w:cs="Arial"/>
                <w:lang w:val="es-ES_tradnl" w:eastAsia="es-ES"/>
              </w:rPr>
            </w:pPr>
            <w:r w:rsidRPr="001F406C">
              <w:rPr>
                <w:rFonts w:ascii="Arial" w:eastAsia="Times New Roman" w:hAnsi="Arial" w:cs="Arial"/>
                <w:lang w:val="es-ES_tradnl" w:eastAsia="es-ES"/>
              </w:rPr>
              <w:t xml:space="preserve">No aplica </w:t>
            </w:r>
          </w:p>
          <w:p w:rsidR="001F406C" w:rsidRPr="001F406C" w:rsidRDefault="001F406C" w:rsidP="009223C7">
            <w:pPr>
              <w:tabs>
                <w:tab w:val="left" w:pos="165"/>
              </w:tabs>
              <w:autoSpaceDE w:val="0"/>
              <w:autoSpaceDN w:val="0"/>
              <w:adjustRightInd w:val="0"/>
              <w:spacing w:after="0" w:line="240" w:lineRule="auto"/>
              <w:jc w:val="both"/>
              <w:rPr>
                <w:rFonts w:ascii="Arial" w:eastAsia="Times New Roman" w:hAnsi="Arial" w:cs="Arial"/>
                <w:lang w:val="es-ES_tradnl" w:eastAsia="es-ES"/>
              </w:rPr>
            </w:pPr>
          </w:p>
          <w:p w:rsidR="001F406C" w:rsidRPr="001F406C" w:rsidRDefault="001F406C" w:rsidP="001F406C">
            <w:pPr>
              <w:tabs>
                <w:tab w:val="left" w:pos="851"/>
              </w:tabs>
              <w:autoSpaceDE w:val="0"/>
              <w:autoSpaceDN w:val="0"/>
              <w:adjustRightInd w:val="0"/>
              <w:spacing w:after="0" w:line="240" w:lineRule="auto"/>
              <w:ind w:left="142"/>
              <w:jc w:val="both"/>
              <w:rPr>
                <w:rFonts w:ascii="Arial" w:eastAsia="Times New Roman" w:hAnsi="Arial" w:cs="Arial"/>
                <w:lang w:val="es-ES_tradnl" w:eastAsia="es-ES"/>
              </w:rPr>
            </w:pPr>
            <w:r w:rsidRPr="001F406C">
              <w:rPr>
                <w:rFonts w:ascii="Arial" w:eastAsia="Times New Roman" w:hAnsi="Arial" w:cs="Arial"/>
                <w:b/>
                <w:lang w:val="es-ES_tradnl" w:eastAsia="es-ES"/>
              </w:rPr>
              <w:t>Publicidad:</w:t>
            </w:r>
            <w:r w:rsidRPr="001F406C">
              <w:rPr>
                <w:rFonts w:ascii="Arial" w:eastAsia="Times New Roman" w:hAnsi="Arial" w:cs="Arial"/>
                <w:lang w:val="es-ES_tradnl" w:eastAsia="es-ES"/>
              </w:rPr>
              <w:t xml:space="preserve"> De conformidad con la Ley debe someterse a consideración del público la información del proyecto antes de su expedición: Si </w:t>
            </w:r>
            <w:r w:rsidR="00B44311">
              <w:rPr>
                <w:rFonts w:ascii="Arial" w:eastAsia="Times New Roman" w:hAnsi="Arial" w:cs="Arial"/>
                <w:lang w:val="es-ES_tradnl" w:eastAsia="es-ES"/>
              </w:rPr>
              <w:t xml:space="preserve">   </w:t>
            </w:r>
            <w:r w:rsidRPr="001F406C">
              <w:rPr>
                <w:rFonts w:ascii="Arial" w:eastAsia="Times New Roman" w:hAnsi="Arial" w:cs="Arial"/>
                <w:u w:val="single"/>
                <w:lang w:val="es-ES_tradnl" w:eastAsia="es-ES"/>
              </w:rPr>
              <w:t>X</w:t>
            </w:r>
            <w:r w:rsidRPr="001F406C">
              <w:rPr>
                <w:rFonts w:ascii="Arial" w:eastAsia="Times New Roman" w:hAnsi="Arial" w:cs="Arial"/>
                <w:lang w:val="es-ES_tradnl" w:eastAsia="es-ES"/>
              </w:rPr>
              <w:t xml:space="preserve">     No</w:t>
            </w:r>
          </w:p>
          <w:p w:rsidR="001F406C" w:rsidRPr="001F406C" w:rsidRDefault="001F406C" w:rsidP="001F406C">
            <w:pPr>
              <w:tabs>
                <w:tab w:val="left" w:pos="851"/>
              </w:tabs>
              <w:autoSpaceDE w:val="0"/>
              <w:autoSpaceDN w:val="0"/>
              <w:adjustRightInd w:val="0"/>
              <w:spacing w:after="0" w:line="240" w:lineRule="auto"/>
              <w:ind w:left="142"/>
              <w:jc w:val="both"/>
              <w:rPr>
                <w:rFonts w:ascii="Arial" w:eastAsia="Times New Roman" w:hAnsi="Arial" w:cs="Arial"/>
                <w:lang w:val="es-ES_tradnl" w:eastAsia="es-ES"/>
              </w:rPr>
            </w:pPr>
          </w:p>
          <w:p w:rsidR="001F406C" w:rsidRPr="001F406C" w:rsidRDefault="001F406C" w:rsidP="001F406C">
            <w:pPr>
              <w:tabs>
                <w:tab w:val="left" w:pos="851"/>
              </w:tabs>
              <w:autoSpaceDE w:val="0"/>
              <w:autoSpaceDN w:val="0"/>
              <w:adjustRightInd w:val="0"/>
              <w:spacing w:after="0" w:line="240" w:lineRule="auto"/>
              <w:ind w:left="142"/>
              <w:jc w:val="both"/>
              <w:rPr>
                <w:rFonts w:ascii="Arial" w:eastAsia="Times New Roman" w:hAnsi="Arial" w:cs="Arial"/>
                <w:lang w:val="es-ES_tradnl" w:eastAsia="es-ES"/>
              </w:rPr>
            </w:pPr>
            <w:r w:rsidRPr="001F406C">
              <w:rPr>
                <w:rFonts w:ascii="Arial" w:eastAsia="Times New Roman" w:hAnsi="Arial" w:cs="Arial"/>
                <w:b/>
                <w:lang w:val="es-ES_tradnl" w:eastAsia="es-ES"/>
              </w:rPr>
              <w:t>Seguridad Jurídica:</w:t>
            </w:r>
            <w:r w:rsidRPr="001F406C">
              <w:rPr>
                <w:rFonts w:ascii="Arial" w:eastAsia="Times New Roman" w:hAnsi="Arial" w:cs="Arial"/>
                <w:lang w:val="es-ES_tradnl" w:eastAsia="es-ES"/>
              </w:rPr>
              <w:t xml:space="preserve"> Dentro del año inmediatamente anterior ya se había reglamentado la misma materia: Si   </w:t>
            </w:r>
            <w:r w:rsidR="009748D7">
              <w:rPr>
                <w:rFonts w:ascii="Arial" w:eastAsia="Times New Roman" w:hAnsi="Arial" w:cs="Arial"/>
                <w:lang w:val="es-ES_tradnl" w:eastAsia="es-ES"/>
              </w:rPr>
              <w:t>x</w:t>
            </w:r>
            <w:r w:rsidRPr="001F406C">
              <w:rPr>
                <w:rFonts w:ascii="Arial" w:eastAsia="Times New Roman" w:hAnsi="Arial" w:cs="Arial"/>
                <w:lang w:val="es-ES_tradnl" w:eastAsia="es-ES"/>
              </w:rPr>
              <w:t xml:space="preserve"> No  </w:t>
            </w:r>
            <w:r w:rsidR="00B44311">
              <w:rPr>
                <w:rFonts w:ascii="Arial" w:eastAsia="Times New Roman" w:hAnsi="Arial" w:cs="Arial"/>
                <w:lang w:val="es-ES_tradnl" w:eastAsia="es-ES"/>
              </w:rPr>
              <w:t xml:space="preserve"> </w:t>
            </w:r>
          </w:p>
          <w:p w:rsidR="001F406C" w:rsidRPr="001F406C" w:rsidRDefault="001F406C" w:rsidP="001F406C">
            <w:pPr>
              <w:tabs>
                <w:tab w:val="left" w:pos="851"/>
              </w:tabs>
              <w:autoSpaceDE w:val="0"/>
              <w:autoSpaceDN w:val="0"/>
              <w:adjustRightInd w:val="0"/>
              <w:spacing w:after="0" w:line="240" w:lineRule="auto"/>
              <w:ind w:left="142"/>
              <w:jc w:val="both"/>
              <w:rPr>
                <w:rFonts w:ascii="Arial" w:eastAsia="Times New Roman" w:hAnsi="Arial" w:cs="Arial"/>
                <w:lang w:val="es-ES_tradnl" w:eastAsia="es-ES"/>
              </w:rPr>
            </w:pPr>
          </w:p>
          <w:p w:rsidR="001F406C" w:rsidRDefault="001F406C" w:rsidP="001F406C">
            <w:pPr>
              <w:tabs>
                <w:tab w:val="left" w:pos="851"/>
              </w:tabs>
              <w:autoSpaceDE w:val="0"/>
              <w:autoSpaceDN w:val="0"/>
              <w:adjustRightInd w:val="0"/>
              <w:spacing w:after="0" w:line="240" w:lineRule="auto"/>
              <w:ind w:left="142"/>
              <w:jc w:val="both"/>
              <w:rPr>
                <w:rFonts w:ascii="Arial" w:eastAsia="Times New Roman" w:hAnsi="Arial" w:cs="Arial"/>
                <w:lang w:val="es-ES_tradnl" w:eastAsia="es-ES"/>
              </w:rPr>
            </w:pPr>
            <w:r w:rsidRPr="001F406C">
              <w:rPr>
                <w:rFonts w:ascii="Arial" w:eastAsia="Times New Roman" w:hAnsi="Arial" w:cs="Arial"/>
                <w:b/>
                <w:lang w:val="es-ES_tradnl" w:eastAsia="es-ES"/>
              </w:rPr>
              <w:t>Directrices de técnica normativa y Vo. Bo.</w:t>
            </w:r>
            <w:r w:rsidRPr="001F406C">
              <w:rPr>
                <w:rFonts w:ascii="Arial" w:eastAsia="Times New Roman" w:hAnsi="Arial" w:cs="Arial"/>
                <w:lang w:val="es-ES_tradnl" w:eastAsia="es-ES"/>
              </w:rPr>
              <w:t xml:space="preserve"> El proyecto cumple con las directrices de técnica normativa previstas en el Decreto 1081 de 2015: Si   </w:t>
            </w:r>
            <w:r w:rsidRPr="001F406C">
              <w:rPr>
                <w:rFonts w:ascii="Arial" w:eastAsia="Times New Roman" w:hAnsi="Arial" w:cs="Arial"/>
                <w:u w:val="single"/>
                <w:lang w:val="es-ES_tradnl" w:eastAsia="es-ES"/>
              </w:rPr>
              <w:t>X</w:t>
            </w:r>
            <w:r w:rsidRPr="001F406C">
              <w:rPr>
                <w:rFonts w:ascii="Arial" w:eastAsia="Times New Roman" w:hAnsi="Arial" w:cs="Arial"/>
                <w:lang w:val="es-ES_tradnl" w:eastAsia="es-ES"/>
              </w:rPr>
              <w:t xml:space="preserve">   No </w:t>
            </w:r>
          </w:p>
          <w:p w:rsidR="00AE0F3A" w:rsidRDefault="00AE0F3A" w:rsidP="001F406C">
            <w:pPr>
              <w:tabs>
                <w:tab w:val="left" w:pos="851"/>
              </w:tabs>
              <w:autoSpaceDE w:val="0"/>
              <w:autoSpaceDN w:val="0"/>
              <w:adjustRightInd w:val="0"/>
              <w:spacing w:after="0" w:line="240" w:lineRule="auto"/>
              <w:ind w:left="142"/>
              <w:jc w:val="both"/>
              <w:rPr>
                <w:rFonts w:ascii="Arial" w:eastAsia="Times New Roman" w:hAnsi="Arial" w:cs="Arial"/>
                <w:lang w:val="es-ES_tradnl" w:eastAsia="es-ES"/>
              </w:rPr>
            </w:pPr>
          </w:p>
          <w:p w:rsidR="00AE0F3A" w:rsidRDefault="00AE0F3A" w:rsidP="00AE0F3A">
            <w:pPr>
              <w:tabs>
                <w:tab w:val="left" w:pos="851"/>
              </w:tabs>
              <w:autoSpaceDE w:val="0"/>
              <w:autoSpaceDN w:val="0"/>
              <w:adjustRightInd w:val="0"/>
              <w:spacing w:after="0" w:line="240" w:lineRule="auto"/>
              <w:jc w:val="both"/>
              <w:rPr>
                <w:rFonts w:ascii="Arial" w:eastAsia="Times New Roman" w:hAnsi="Arial" w:cs="Arial"/>
                <w:lang w:val="es-ES_tradnl" w:eastAsia="es-ES"/>
              </w:rPr>
            </w:pPr>
          </w:p>
          <w:p w:rsidR="00AE0F3A" w:rsidRDefault="00AE0F3A" w:rsidP="00AE0F3A">
            <w:pPr>
              <w:tabs>
                <w:tab w:val="left" w:pos="851"/>
              </w:tabs>
              <w:autoSpaceDE w:val="0"/>
              <w:autoSpaceDN w:val="0"/>
              <w:adjustRightInd w:val="0"/>
              <w:spacing w:after="0" w:line="240" w:lineRule="auto"/>
              <w:ind w:left="142" w:right="62"/>
              <w:jc w:val="both"/>
              <w:rPr>
                <w:rFonts w:ascii="Arial" w:eastAsia="Times New Roman" w:hAnsi="Arial" w:cs="Arial"/>
                <w:lang w:val="es-ES_tradnl" w:eastAsia="es-ES"/>
              </w:rPr>
            </w:pPr>
            <w:r>
              <w:rPr>
                <w:rFonts w:ascii="Arial" w:eastAsia="Times New Roman" w:hAnsi="Arial" w:cs="Arial"/>
                <w:lang w:val="es-ES_tradnl" w:eastAsia="es-ES"/>
              </w:rPr>
              <w:t>Cordialmente,</w:t>
            </w:r>
          </w:p>
          <w:p w:rsidR="002C15B8" w:rsidRDefault="002C15B8" w:rsidP="00AE0F3A">
            <w:pPr>
              <w:tabs>
                <w:tab w:val="left" w:pos="851"/>
              </w:tabs>
              <w:autoSpaceDE w:val="0"/>
              <w:autoSpaceDN w:val="0"/>
              <w:adjustRightInd w:val="0"/>
              <w:spacing w:after="0" w:line="240" w:lineRule="auto"/>
              <w:ind w:left="142" w:right="62"/>
              <w:jc w:val="both"/>
              <w:rPr>
                <w:rFonts w:ascii="Arial" w:eastAsia="Times New Roman" w:hAnsi="Arial" w:cs="Arial"/>
                <w:lang w:val="es-ES_tradnl" w:eastAsia="es-ES"/>
              </w:rPr>
            </w:pPr>
          </w:p>
          <w:p w:rsidR="001F406C" w:rsidRPr="001F406C" w:rsidRDefault="001F406C" w:rsidP="00AE0F3A">
            <w:pPr>
              <w:tabs>
                <w:tab w:val="left" w:pos="165"/>
              </w:tabs>
              <w:autoSpaceDE w:val="0"/>
              <w:autoSpaceDN w:val="0"/>
              <w:adjustRightInd w:val="0"/>
              <w:spacing w:after="0" w:line="240" w:lineRule="auto"/>
              <w:ind w:left="142" w:right="62" w:hanging="1274"/>
              <w:jc w:val="both"/>
              <w:rPr>
                <w:rFonts w:ascii="Arial" w:eastAsia="Times New Roman" w:hAnsi="Arial" w:cs="Arial"/>
                <w:b/>
                <w:lang w:val="es-ES_tradnl" w:eastAsia="es-ES"/>
              </w:rPr>
            </w:pPr>
          </w:p>
          <w:p w:rsidR="001F406C" w:rsidRDefault="001F406C" w:rsidP="00AE0F3A">
            <w:pPr>
              <w:tabs>
                <w:tab w:val="left" w:pos="165"/>
              </w:tabs>
              <w:autoSpaceDE w:val="0"/>
              <w:autoSpaceDN w:val="0"/>
              <w:adjustRightInd w:val="0"/>
              <w:spacing w:after="0" w:line="240" w:lineRule="auto"/>
              <w:ind w:left="142" w:right="62" w:hanging="720"/>
              <w:jc w:val="both"/>
              <w:rPr>
                <w:rFonts w:ascii="Arial" w:eastAsia="Times New Roman" w:hAnsi="Arial" w:cs="Arial"/>
                <w:b/>
                <w:lang w:val="es-ES_tradnl" w:eastAsia="es-ES"/>
              </w:rPr>
            </w:pPr>
          </w:p>
          <w:p w:rsidR="001F406C" w:rsidRDefault="001F406C" w:rsidP="00AE0F3A">
            <w:pPr>
              <w:tabs>
                <w:tab w:val="left" w:pos="165"/>
              </w:tabs>
              <w:autoSpaceDE w:val="0"/>
              <w:autoSpaceDN w:val="0"/>
              <w:adjustRightInd w:val="0"/>
              <w:spacing w:after="0" w:line="240" w:lineRule="auto"/>
              <w:ind w:left="142" w:right="62" w:hanging="720"/>
              <w:jc w:val="both"/>
              <w:rPr>
                <w:rFonts w:ascii="Arial" w:eastAsia="Times New Roman" w:hAnsi="Arial" w:cs="Arial"/>
                <w:b/>
                <w:lang w:val="es-ES_tradnl" w:eastAsia="es-ES"/>
              </w:rPr>
            </w:pPr>
          </w:p>
          <w:p w:rsidR="001F406C" w:rsidRDefault="001F406C" w:rsidP="00AE0F3A">
            <w:pPr>
              <w:tabs>
                <w:tab w:val="left" w:pos="165"/>
              </w:tabs>
              <w:autoSpaceDE w:val="0"/>
              <w:autoSpaceDN w:val="0"/>
              <w:adjustRightInd w:val="0"/>
              <w:spacing w:after="0" w:line="240" w:lineRule="auto"/>
              <w:ind w:left="142" w:right="62" w:hanging="720"/>
              <w:jc w:val="both"/>
              <w:rPr>
                <w:rFonts w:ascii="Arial" w:eastAsia="Times New Roman" w:hAnsi="Arial" w:cs="Arial"/>
                <w:b/>
                <w:lang w:val="es-ES_tradnl" w:eastAsia="es-ES"/>
              </w:rPr>
            </w:pPr>
          </w:p>
          <w:p w:rsidR="001F406C" w:rsidRDefault="001F406C" w:rsidP="00AE0F3A">
            <w:pPr>
              <w:tabs>
                <w:tab w:val="left" w:pos="165"/>
              </w:tabs>
              <w:autoSpaceDE w:val="0"/>
              <w:autoSpaceDN w:val="0"/>
              <w:adjustRightInd w:val="0"/>
              <w:spacing w:after="0" w:line="240" w:lineRule="auto"/>
              <w:ind w:left="142" w:right="62" w:hanging="720"/>
              <w:jc w:val="both"/>
              <w:rPr>
                <w:rFonts w:ascii="Arial" w:eastAsia="Times New Roman" w:hAnsi="Arial" w:cs="Arial"/>
                <w:b/>
                <w:lang w:val="es-ES_tradnl" w:eastAsia="es-ES"/>
              </w:rPr>
            </w:pP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r w:rsidRPr="006758B3">
              <w:rPr>
                <w:rFonts w:ascii="Arial" w:hAnsi="Arial" w:cs="Arial"/>
                <w:b/>
              </w:rPr>
              <w:t>M</w:t>
            </w:r>
            <w:r>
              <w:rPr>
                <w:rFonts w:ascii="Arial" w:hAnsi="Arial" w:cs="Arial"/>
                <w:b/>
              </w:rPr>
              <w:t>ARGARITA MARÍA ESCUDERO OSORIO</w:t>
            </w: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r w:rsidRPr="006758B3">
              <w:rPr>
                <w:rFonts w:ascii="Arial" w:hAnsi="Arial" w:cs="Arial"/>
                <w:b/>
              </w:rPr>
              <w:t>Directora</w:t>
            </w:r>
            <w:r>
              <w:rPr>
                <w:rFonts w:ascii="Arial" w:hAnsi="Arial" w:cs="Arial"/>
                <w:b/>
              </w:rPr>
              <w:t xml:space="preserve"> </w:t>
            </w:r>
            <w:r w:rsidRPr="006758B3">
              <w:rPr>
                <w:rFonts w:ascii="Arial" w:hAnsi="Arial" w:cs="Arial"/>
                <w:b/>
              </w:rPr>
              <w:t>de Regulación de la Operación del Aseguramiento en Salud, Riesgos Laborales y Pensiones</w:t>
            </w: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p>
          <w:p w:rsidR="002C15B8" w:rsidRDefault="002C15B8" w:rsidP="00AE0F3A">
            <w:pPr>
              <w:tabs>
                <w:tab w:val="left" w:pos="165"/>
              </w:tabs>
              <w:autoSpaceDE w:val="0"/>
              <w:autoSpaceDN w:val="0"/>
              <w:adjustRightInd w:val="0"/>
              <w:spacing w:after="0" w:line="240" w:lineRule="auto"/>
              <w:ind w:left="142" w:right="62"/>
              <w:jc w:val="both"/>
              <w:rPr>
                <w:rFonts w:ascii="Arial" w:hAnsi="Arial" w:cs="Arial"/>
                <w:b/>
              </w:rPr>
            </w:pPr>
          </w:p>
          <w:p w:rsidR="00A85B90" w:rsidRDefault="00A85B90" w:rsidP="00AE0F3A">
            <w:pPr>
              <w:tabs>
                <w:tab w:val="left" w:pos="165"/>
              </w:tabs>
              <w:autoSpaceDE w:val="0"/>
              <w:autoSpaceDN w:val="0"/>
              <w:adjustRightInd w:val="0"/>
              <w:spacing w:after="0" w:line="240" w:lineRule="auto"/>
              <w:ind w:left="142" w:right="62"/>
              <w:jc w:val="both"/>
              <w:rPr>
                <w:rFonts w:ascii="Arial" w:hAnsi="Arial" w:cs="Arial"/>
                <w:b/>
              </w:rPr>
            </w:pPr>
          </w:p>
          <w:p w:rsid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r w:rsidRPr="001F406C">
              <w:rPr>
                <w:rFonts w:ascii="Arial" w:hAnsi="Arial" w:cs="Arial"/>
                <w:b/>
              </w:rPr>
              <w:t>RODOLFO ENRIQUE SALAS FIGUEROA</w:t>
            </w:r>
          </w:p>
          <w:p w:rsidR="001F406C" w:rsidRPr="001F406C" w:rsidRDefault="001F406C" w:rsidP="00AE0F3A">
            <w:pPr>
              <w:tabs>
                <w:tab w:val="left" w:pos="165"/>
              </w:tabs>
              <w:autoSpaceDE w:val="0"/>
              <w:autoSpaceDN w:val="0"/>
              <w:adjustRightInd w:val="0"/>
              <w:spacing w:after="0" w:line="240" w:lineRule="auto"/>
              <w:ind w:left="142" w:right="62"/>
              <w:jc w:val="both"/>
              <w:rPr>
                <w:rFonts w:ascii="Arial" w:hAnsi="Arial" w:cs="Arial"/>
                <w:b/>
              </w:rPr>
            </w:pPr>
            <w:r>
              <w:rPr>
                <w:rFonts w:ascii="Arial" w:hAnsi="Arial" w:cs="Arial"/>
                <w:b/>
              </w:rPr>
              <w:t>Director Jurídico</w:t>
            </w:r>
          </w:p>
          <w:p w:rsidR="001F406C" w:rsidRPr="001F406C" w:rsidRDefault="001F406C" w:rsidP="001F406C">
            <w:pPr>
              <w:tabs>
                <w:tab w:val="left" w:pos="165"/>
              </w:tabs>
              <w:autoSpaceDE w:val="0"/>
              <w:autoSpaceDN w:val="0"/>
              <w:adjustRightInd w:val="0"/>
              <w:spacing w:after="0" w:line="240" w:lineRule="auto"/>
              <w:jc w:val="both"/>
              <w:rPr>
                <w:rFonts w:ascii="Arial" w:eastAsia="Times New Roman" w:hAnsi="Arial" w:cs="Arial"/>
                <w:b/>
                <w:lang w:val="es-ES_tradnl" w:eastAsia="es-ES"/>
              </w:rPr>
            </w:pPr>
          </w:p>
        </w:tc>
      </w:tr>
    </w:tbl>
    <w:p w:rsidR="001F406C" w:rsidRPr="001F406C" w:rsidRDefault="001F406C" w:rsidP="001F406C">
      <w:pPr>
        <w:spacing w:after="0" w:line="240" w:lineRule="auto"/>
        <w:jc w:val="both"/>
        <w:rPr>
          <w:rFonts w:ascii="Arial" w:eastAsia="Times New Roman" w:hAnsi="Arial" w:cs="Arial"/>
          <w:b/>
          <w:lang w:val="es-ES_tradnl" w:eastAsia="es-ES"/>
        </w:rPr>
      </w:pPr>
    </w:p>
    <w:p w:rsidR="00FC359F" w:rsidRDefault="00FC359F"/>
    <w:sectPr w:rsidR="00FC359F" w:rsidSect="006A06A6">
      <w:headerReference w:type="first" r:id="rId7"/>
      <w:footerReference w:type="first" r:id="rId8"/>
      <w:pgSz w:w="12240" w:h="18720" w:code="14"/>
      <w:pgMar w:top="1558" w:right="1610" w:bottom="1276" w:left="1701" w:header="720" w:footer="68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A88" w:rsidRDefault="00233A88">
      <w:pPr>
        <w:spacing w:after="0" w:line="240" w:lineRule="auto"/>
      </w:pPr>
      <w:r>
        <w:separator/>
      </w:r>
    </w:p>
  </w:endnote>
  <w:endnote w:type="continuationSeparator" w:id="0">
    <w:p w:rsidR="00233A88" w:rsidRDefault="0023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52" w:rsidRDefault="001F406C">
    <w:pPr>
      <w:pStyle w:val="Piedepgina"/>
    </w:pPr>
    <w:r>
      <w:rPr>
        <w:noProof/>
        <w:lang w:val="en-US"/>
      </w:rPr>
      <mc:AlternateContent>
        <mc:Choice Requires="wps">
          <w:drawing>
            <wp:anchor distT="0" distB="0" distL="114300" distR="114300" simplePos="0" relativeHeight="251659264" behindDoc="0" locked="0" layoutInCell="0" allowOverlap="1">
              <wp:simplePos x="0" y="0"/>
              <wp:positionH relativeFrom="column">
                <wp:posOffset>-167005</wp:posOffset>
              </wp:positionH>
              <wp:positionV relativeFrom="paragraph">
                <wp:posOffset>-127635</wp:posOffset>
              </wp:positionV>
              <wp:extent cx="6035675" cy="635"/>
              <wp:effectExtent l="0" t="0" r="22225" b="374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57FB05E2" id="Conector recto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0.05pt" to="462.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" o:allowincell="f"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A88" w:rsidRDefault="00233A88">
      <w:pPr>
        <w:spacing w:after="0" w:line="240" w:lineRule="auto"/>
      </w:pPr>
      <w:r>
        <w:separator/>
      </w:r>
    </w:p>
  </w:footnote>
  <w:footnote w:type="continuationSeparator" w:id="0">
    <w:p w:rsidR="00233A88" w:rsidRDefault="0023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52" w:rsidRDefault="00233A88">
    <w:pPr>
      <w:pStyle w:val="Encabezado"/>
      <w:jc w:val="center"/>
      <w:rPr>
        <w:rFonts w:ascii="Albertus Extra Bold" w:hAnsi="Albertus Extra Bold"/>
        <w:sz w:val="14"/>
      </w:rPr>
    </w:pPr>
  </w:p>
  <w:p w:rsidR="00331A52" w:rsidRDefault="00233A8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00972"/>
    <w:multiLevelType w:val="hybridMultilevel"/>
    <w:tmpl w:val="189C7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A44069"/>
    <w:multiLevelType w:val="hybridMultilevel"/>
    <w:tmpl w:val="5B764E32"/>
    <w:lvl w:ilvl="0" w:tplc="FD2E7B02">
      <w:start w:val="1"/>
      <w:numFmt w:val="upperRoman"/>
      <w:lvlText w:val="%1."/>
      <w:lvlJc w:val="left"/>
      <w:pPr>
        <w:ind w:left="862" w:hanging="72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D015C55"/>
    <w:multiLevelType w:val="hybridMultilevel"/>
    <w:tmpl w:val="0C207A52"/>
    <w:lvl w:ilvl="0" w:tplc="99D87662">
      <w:start w:val="1"/>
      <w:numFmt w:val="decimal"/>
      <w:lvlText w:val="%1."/>
      <w:lvlJc w:val="left"/>
      <w:pPr>
        <w:ind w:left="498" w:hanging="360"/>
      </w:pPr>
      <w:rPr>
        <w:rFonts w:hint="default"/>
      </w:rPr>
    </w:lvl>
    <w:lvl w:ilvl="1" w:tplc="240A0019" w:tentative="1">
      <w:start w:val="1"/>
      <w:numFmt w:val="lowerLetter"/>
      <w:lvlText w:val="%2."/>
      <w:lvlJc w:val="left"/>
      <w:pPr>
        <w:ind w:left="1218" w:hanging="360"/>
      </w:pPr>
    </w:lvl>
    <w:lvl w:ilvl="2" w:tplc="240A001B" w:tentative="1">
      <w:start w:val="1"/>
      <w:numFmt w:val="lowerRoman"/>
      <w:lvlText w:val="%3."/>
      <w:lvlJc w:val="right"/>
      <w:pPr>
        <w:ind w:left="1938" w:hanging="180"/>
      </w:pPr>
    </w:lvl>
    <w:lvl w:ilvl="3" w:tplc="240A000F" w:tentative="1">
      <w:start w:val="1"/>
      <w:numFmt w:val="decimal"/>
      <w:lvlText w:val="%4."/>
      <w:lvlJc w:val="left"/>
      <w:pPr>
        <w:ind w:left="2658" w:hanging="360"/>
      </w:pPr>
    </w:lvl>
    <w:lvl w:ilvl="4" w:tplc="240A0019" w:tentative="1">
      <w:start w:val="1"/>
      <w:numFmt w:val="lowerLetter"/>
      <w:lvlText w:val="%5."/>
      <w:lvlJc w:val="left"/>
      <w:pPr>
        <w:ind w:left="3378" w:hanging="360"/>
      </w:pPr>
    </w:lvl>
    <w:lvl w:ilvl="5" w:tplc="240A001B" w:tentative="1">
      <w:start w:val="1"/>
      <w:numFmt w:val="lowerRoman"/>
      <w:lvlText w:val="%6."/>
      <w:lvlJc w:val="right"/>
      <w:pPr>
        <w:ind w:left="4098" w:hanging="180"/>
      </w:pPr>
    </w:lvl>
    <w:lvl w:ilvl="6" w:tplc="240A000F" w:tentative="1">
      <w:start w:val="1"/>
      <w:numFmt w:val="decimal"/>
      <w:lvlText w:val="%7."/>
      <w:lvlJc w:val="left"/>
      <w:pPr>
        <w:ind w:left="4818" w:hanging="360"/>
      </w:pPr>
    </w:lvl>
    <w:lvl w:ilvl="7" w:tplc="240A0019" w:tentative="1">
      <w:start w:val="1"/>
      <w:numFmt w:val="lowerLetter"/>
      <w:lvlText w:val="%8."/>
      <w:lvlJc w:val="left"/>
      <w:pPr>
        <w:ind w:left="5538" w:hanging="360"/>
      </w:pPr>
    </w:lvl>
    <w:lvl w:ilvl="8" w:tplc="240A001B" w:tentative="1">
      <w:start w:val="1"/>
      <w:numFmt w:val="lowerRoman"/>
      <w:lvlText w:val="%9."/>
      <w:lvlJc w:val="right"/>
      <w:pPr>
        <w:ind w:left="625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6C"/>
    <w:rsid w:val="001F406C"/>
    <w:rsid w:val="00233A88"/>
    <w:rsid w:val="00261263"/>
    <w:rsid w:val="002C15B8"/>
    <w:rsid w:val="003343FC"/>
    <w:rsid w:val="003374FA"/>
    <w:rsid w:val="003B0C1C"/>
    <w:rsid w:val="003E55EA"/>
    <w:rsid w:val="00465A03"/>
    <w:rsid w:val="004D1066"/>
    <w:rsid w:val="00504FB1"/>
    <w:rsid w:val="00551CDF"/>
    <w:rsid w:val="0058505E"/>
    <w:rsid w:val="005E0492"/>
    <w:rsid w:val="00643879"/>
    <w:rsid w:val="00646455"/>
    <w:rsid w:val="006A6FDE"/>
    <w:rsid w:val="006C280E"/>
    <w:rsid w:val="00796BA5"/>
    <w:rsid w:val="008437D2"/>
    <w:rsid w:val="008D214F"/>
    <w:rsid w:val="00917C39"/>
    <w:rsid w:val="009223C7"/>
    <w:rsid w:val="00940BBA"/>
    <w:rsid w:val="009748D7"/>
    <w:rsid w:val="00A57BEE"/>
    <w:rsid w:val="00A85B90"/>
    <w:rsid w:val="00AE0F3A"/>
    <w:rsid w:val="00B21C95"/>
    <w:rsid w:val="00B270DA"/>
    <w:rsid w:val="00B3176A"/>
    <w:rsid w:val="00B44311"/>
    <w:rsid w:val="00C035CC"/>
    <w:rsid w:val="00C644EC"/>
    <w:rsid w:val="00CB6072"/>
    <w:rsid w:val="00CC01EE"/>
    <w:rsid w:val="00CD053D"/>
    <w:rsid w:val="00DE1179"/>
    <w:rsid w:val="00E808A1"/>
    <w:rsid w:val="00EF3931"/>
    <w:rsid w:val="00F334BE"/>
    <w:rsid w:val="00F56738"/>
    <w:rsid w:val="00F57582"/>
    <w:rsid w:val="00FC359F"/>
    <w:rsid w:val="00FC4405"/>
    <w:rsid w:val="00FE7BB5"/>
    <w:rsid w:val="00FF39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DF02E"/>
  <w15:chartTrackingRefBased/>
  <w15:docId w15:val="{BF4DA160-E590-45D9-9184-33A29690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40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F406C"/>
  </w:style>
  <w:style w:type="paragraph" w:styleId="Piedepgina">
    <w:name w:val="footer"/>
    <w:basedOn w:val="Normal"/>
    <w:link w:val="PiedepginaCar"/>
    <w:uiPriority w:val="99"/>
    <w:semiHidden/>
    <w:unhideWhenUsed/>
    <w:rsid w:val="001F40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F406C"/>
  </w:style>
  <w:style w:type="paragraph" w:styleId="NormalWeb">
    <w:name w:val="Normal (Web)"/>
    <w:basedOn w:val="Normal"/>
    <w:link w:val="NormalWebCar"/>
    <w:uiPriority w:val="99"/>
    <w:unhideWhenUsed/>
    <w:rsid w:val="00646455"/>
    <w:pPr>
      <w:spacing w:before="100" w:beforeAutospacing="1" w:after="100" w:afterAutospacing="1" w:line="240" w:lineRule="auto"/>
    </w:pPr>
    <w:rPr>
      <w:rFonts w:ascii="Times New Roman" w:eastAsia="Calibri" w:hAnsi="Times New Roman" w:cs="Times New Roman"/>
      <w:sz w:val="24"/>
      <w:szCs w:val="24"/>
      <w:lang w:eastAsia="es-CO"/>
    </w:rPr>
  </w:style>
  <w:style w:type="character" w:customStyle="1" w:styleId="NormalWebCar">
    <w:name w:val="Normal (Web) Car"/>
    <w:link w:val="NormalWeb"/>
    <w:uiPriority w:val="99"/>
    <w:rsid w:val="00646455"/>
    <w:rPr>
      <w:rFonts w:ascii="Times New Roman" w:eastAsia="Calibri" w:hAnsi="Times New Roman" w:cs="Times New Roman"/>
      <w:sz w:val="24"/>
      <w:szCs w:val="24"/>
      <w:lang w:eastAsia="es-CO"/>
    </w:rPr>
  </w:style>
  <w:style w:type="paragraph" w:styleId="Textoindependiente">
    <w:name w:val="Body Text"/>
    <w:aliases w:val="body text"/>
    <w:basedOn w:val="Normal"/>
    <w:link w:val="TextoindependienteCar"/>
    <w:rsid w:val="0058505E"/>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aliases w:val="body text Car"/>
    <w:basedOn w:val="Fuentedeprrafopredeter"/>
    <w:link w:val="Textoindependiente"/>
    <w:rsid w:val="0058505E"/>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FC4405"/>
    <w:rPr>
      <w:sz w:val="16"/>
      <w:szCs w:val="16"/>
    </w:rPr>
  </w:style>
  <w:style w:type="paragraph" w:styleId="Textocomentario">
    <w:name w:val="annotation text"/>
    <w:basedOn w:val="Normal"/>
    <w:link w:val="TextocomentarioCar"/>
    <w:uiPriority w:val="99"/>
    <w:unhideWhenUsed/>
    <w:rsid w:val="00FC4405"/>
    <w:pPr>
      <w:spacing w:line="240" w:lineRule="auto"/>
    </w:pPr>
    <w:rPr>
      <w:sz w:val="20"/>
      <w:szCs w:val="20"/>
    </w:rPr>
  </w:style>
  <w:style w:type="character" w:customStyle="1" w:styleId="TextocomentarioCar">
    <w:name w:val="Texto comentario Car"/>
    <w:basedOn w:val="Fuentedeprrafopredeter"/>
    <w:link w:val="Textocomentario"/>
    <w:uiPriority w:val="99"/>
    <w:rsid w:val="00FC4405"/>
    <w:rPr>
      <w:sz w:val="20"/>
      <w:szCs w:val="20"/>
    </w:rPr>
  </w:style>
  <w:style w:type="paragraph" w:styleId="Textodeglobo">
    <w:name w:val="Balloon Text"/>
    <w:basedOn w:val="Normal"/>
    <w:link w:val="TextodegloboCar"/>
    <w:uiPriority w:val="99"/>
    <w:semiHidden/>
    <w:unhideWhenUsed/>
    <w:rsid w:val="00FC44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40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C4405"/>
    <w:rPr>
      <w:b/>
      <w:bCs/>
    </w:rPr>
  </w:style>
  <w:style w:type="character" w:customStyle="1" w:styleId="AsuntodelcomentarioCar">
    <w:name w:val="Asunto del comentario Car"/>
    <w:basedOn w:val="TextocomentarioCar"/>
    <w:link w:val="Asuntodelcomentario"/>
    <w:uiPriority w:val="99"/>
    <w:semiHidden/>
    <w:rsid w:val="00FC4405"/>
    <w:rPr>
      <w:b/>
      <w:bCs/>
      <w:sz w:val="20"/>
      <w:szCs w:val="20"/>
    </w:rPr>
  </w:style>
  <w:style w:type="character" w:styleId="Hipervnculo">
    <w:name w:val="Hyperlink"/>
    <w:basedOn w:val="Fuentedeprrafopredeter"/>
    <w:uiPriority w:val="99"/>
    <w:semiHidden/>
    <w:unhideWhenUsed/>
    <w:rsid w:val="00643879"/>
    <w:rPr>
      <w:color w:val="0000FF"/>
      <w:u w:val="single"/>
    </w:rPr>
  </w:style>
  <w:style w:type="character" w:styleId="Hipervnculovisitado">
    <w:name w:val="FollowedHyperlink"/>
    <w:basedOn w:val="Fuentedeprrafopredeter"/>
    <w:uiPriority w:val="99"/>
    <w:semiHidden/>
    <w:unhideWhenUsed/>
    <w:rsid w:val="00796BA5"/>
    <w:rPr>
      <w:color w:val="954F72" w:themeColor="followedHyperlink"/>
      <w:u w:val="single"/>
    </w:rPr>
  </w:style>
  <w:style w:type="paragraph" w:styleId="Prrafodelista">
    <w:name w:val="List Paragraph"/>
    <w:basedOn w:val="Normal"/>
    <w:uiPriority w:val="34"/>
    <w:qFormat/>
    <w:rsid w:val="00796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DFAB718FF44848B67536ACD193E98D" ma:contentTypeVersion="0" ma:contentTypeDescription="Crear nuevo documento." ma:contentTypeScope="" ma:versionID="18375fb5598c4f23a8c6776e580164f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3793E-66CD-489B-BBD5-E6DA42485E3A}"/>
</file>

<file path=customXml/itemProps2.xml><?xml version="1.0" encoding="utf-8"?>
<ds:datastoreItem xmlns:ds="http://schemas.openxmlformats.org/officeDocument/2006/customXml" ds:itemID="{E6F4C815-D8D0-4FF1-A24F-5A38ACDD31E0}"/>
</file>

<file path=customXml/itemProps3.xml><?xml version="1.0" encoding="utf-8"?>
<ds:datastoreItem xmlns:ds="http://schemas.openxmlformats.org/officeDocument/2006/customXml" ds:itemID="{44C1DD29-6F49-4920-94BC-D8031F3F1F4C}"/>
</file>

<file path=docProps/app.xml><?xml version="1.0" encoding="utf-8"?>
<Properties xmlns="http://schemas.openxmlformats.org/officeDocument/2006/extended-properties" xmlns:vt="http://schemas.openxmlformats.org/officeDocument/2006/docPropsVTypes">
  <Template>Normal</Template>
  <TotalTime>13</TotalTime>
  <Pages>1</Pages>
  <Words>1523</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Peña Valderrama</dc:creator>
  <cp:keywords/>
  <dc:description/>
  <cp:lastModifiedBy>Alexander Arevalo S</cp:lastModifiedBy>
  <cp:revision>7</cp:revision>
  <dcterms:created xsi:type="dcterms:W3CDTF">2024-02-15T13:39:00Z</dcterms:created>
  <dcterms:modified xsi:type="dcterms:W3CDTF">2024-02-15T22:14:00Z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0x010100E7DFAB718FF44848B67536ACD193E98D</vt:lpwstr>
  </property>
</Properties>
</file>